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F022B" w14:textId="77777777" w:rsidR="00327122" w:rsidRPr="00DF668B" w:rsidRDefault="00327122" w:rsidP="68CF97A3">
      <w:pPr>
        <w:pStyle w:val="Textoindependiente"/>
        <w:jc w:val="center"/>
        <w:rPr>
          <w:b/>
          <w:bCs/>
          <w:lang w:val="es-CO"/>
        </w:rPr>
      </w:pPr>
      <w:r w:rsidRPr="00DF668B">
        <w:rPr>
          <w:b/>
          <w:bCs/>
          <w:lang w:val="es-CO"/>
        </w:rPr>
        <w:t>ACTA REUNIÓN</w:t>
      </w:r>
    </w:p>
    <w:p w14:paraId="189EC3D0" w14:textId="0EBB79FB" w:rsidR="408279FD" w:rsidRPr="00DF668B" w:rsidRDefault="009B4676" w:rsidP="68CF97A3">
      <w:pPr>
        <w:pStyle w:val="Textoindependiente"/>
        <w:jc w:val="center"/>
        <w:rPr>
          <w:lang w:val="es-CO"/>
        </w:rPr>
      </w:pPr>
      <w:r w:rsidRPr="00DF668B">
        <w:rPr>
          <w:lang w:val="es-CO"/>
        </w:rPr>
        <w:t>(</w:t>
      </w:r>
      <w:r w:rsidR="00427BF7">
        <w:rPr>
          <w:lang w:val="es-CO"/>
        </w:rPr>
        <w:t>SISTEMATICA XM</w:t>
      </w:r>
      <w:r w:rsidR="00C91D3C">
        <w:rPr>
          <w:lang w:val="es-CO"/>
        </w:rPr>
        <w:t>)</w:t>
      </w:r>
    </w:p>
    <w:p w14:paraId="6D899C24" w14:textId="77777777" w:rsidR="00327122" w:rsidRPr="00DF668B" w:rsidRDefault="00327122" w:rsidP="68CF97A3">
      <w:pPr>
        <w:pStyle w:val="Textoindependiente"/>
        <w:jc w:val="center"/>
        <w:rPr>
          <w:b/>
          <w:bCs/>
          <w:lang w:val="es-CO"/>
        </w:rPr>
      </w:pPr>
    </w:p>
    <w:p w14:paraId="1134A338" w14:textId="77777777" w:rsidR="0012776B" w:rsidRPr="00DF668B" w:rsidRDefault="0012776B" w:rsidP="0012776B">
      <w:pPr>
        <w:pStyle w:val="Textoindependiente"/>
        <w:jc w:val="center"/>
        <w:rPr>
          <w:rFonts w:ascii="Arial Narrow" w:hAnsi="Arial Narrow"/>
          <w:b/>
          <w:sz w:val="16"/>
          <w:lang w:val="es-CO"/>
        </w:rPr>
      </w:pPr>
    </w:p>
    <w:p w14:paraId="78BED772" w14:textId="259B901C" w:rsidR="0020714B" w:rsidRPr="00C91D3C" w:rsidRDefault="00A02DC7" w:rsidP="68CF97A3">
      <w:pPr>
        <w:pStyle w:val="Textoindependiente"/>
        <w:jc w:val="left"/>
        <w:rPr>
          <w:rFonts w:cs="Arial"/>
          <w:sz w:val="28"/>
          <w:szCs w:val="22"/>
          <w:lang w:val="es-CO"/>
        </w:rPr>
      </w:pPr>
      <w:r w:rsidRPr="00DF668B">
        <w:rPr>
          <w:rFonts w:cs="Arial"/>
          <w:b/>
          <w:bCs/>
          <w:lang w:val="es-CO"/>
        </w:rPr>
        <w:t>Ciudad:</w:t>
      </w:r>
      <w:r w:rsidR="00AD47D8">
        <w:rPr>
          <w:rFonts w:cs="Arial"/>
          <w:b/>
          <w:bCs/>
          <w:lang w:val="es-CO"/>
        </w:rPr>
        <w:t xml:space="preserve"> </w:t>
      </w:r>
      <w:r w:rsidR="009D3473">
        <w:rPr>
          <w:rFonts w:cs="Arial"/>
          <w:b/>
          <w:bCs/>
          <w:lang w:val="es-CO"/>
        </w:rPr>
        <w:t xml:space="preserve"> </w:t>
      </w:r>
      <w:r w:rsidR="00C91D3C">
        <w:rPr>
          <w:rFonts w:cs="Arial"/>
          <w:b/>
          <w:bCs/>
          <w:lang w:val="es-CO"/>
        </w:rPr>
        <w:tab/>
      </w:r>
      <w:r w:rsidR="00C91D3C">
        <w:rPr>
          <w:rFonts w:cs="Arial"/>
          <w:b/>
          <w:bCs/>
          <w:lang w:val="es-CO"/>
        </w:rPr>
        <w:tab/>
      </w:r>
      <w:r w:rsidR="00C91D3C" w:rsidRPr="00C91D3C">
        <w:rPr>
          <w:rFonts w:cs="Arial"/>
          <w:lang w:val="es-CO"/>
        </w:rPr>
        <w:t>Bogotá</w:t>
      </w:r>
    </w:p>
    <w:p w14:paraId="0723D630" w14:textId="77777777" w:rsidR="0020714B" w:rsidRPr="00DF668B" w:rsidRDefault="0020714B" w:rsidP="68CF97A3">
      <w:pPr>
        <w:pStyle w:val="Textoindependiente"/>
        <w:jc w:val="left"/>
        <w:rPr>
          <w:rFonts w:cs="Arial"/>
          <w:b/>
          <w:bCs/>
          <w:lang w:val="es-CO"/>
        </w:rPr>
      </w:pPr>
    </w:p>
    <w:p w14:paraId="5FCBF997" w14:textId="44D0084B" w:rsidR="00A02DC7" w:rsidRPr="00C91D3C" w:rsidRDefault="0020714B" w:rsidP="68CF97A3">
      <w:pPr>
        <w:pStyle w:val="Textoindependiente"/>
        <w:jc w:val="left"/>
        <w:rPr>
          <w:rFonts w:cs="Arial"/>
          <w:lang w:val="es-CO"/>
        </w:rPr>
      </w:pPr>
      <w:r w:rsidRPr="00DF668B">
        <w:rPr>
          <w:rFonts w:cs="Arial"/>
          <w:b/>
          <w:bCs/>
          <w:lang w:val="es-CO"/>
        </w:rPr>
        <w:t>Lugar:</w:t>
      </w:r>
      <w:r w:rsidR="00A02DC7" w:rsidRPr="009D3473">
        <w:rPr>
          <w:rFonts w:cs="Arial"/>
          <w:lang w:val="es-CO"/>
        </w:rPr>
        <w:tab/>
      </w:r>
      <w:r w:rsidR="00A02DC7" w:rsidRPr="009D3473">
        <w:rPr>
          <w:rFonts w:cs="Arial"/>
          <w:b/>
          <w:bCs/>
          <w:lang w:val="es-CO"/>
        </w:rPr>
        <w:tab/>
      </w:r>
      <w:r w:rsidR="00DB38A4">
        <w:rPr>
          <w:rFonts w:cs="Arial"/>
          <w:lang w:val="es-CO"/>
        </w:rPr>
        <w:t>Microsoft TEAMS</w:t>
      </w:r>
    </w:p>
    <w:p w14:paraId="49118167" w14:textId="77777777" w:rsidR="00A02DC7" w:rsidRPr="00DF668B" w:rsidRDefault="00A02DC7" w:rsidP="68CF97A3">
      <w:pPr>
        <w:pStyle w:val="Textoindependiente"/>
        <w:jc w:val="left"/>
        <w:rPr>
          <w:rFonts w:cs="Arial"/>
          <w:b/>
          <w:bCs/>
          <w:lang w:val="es-CO"/>
        </w:rPr>
      </w:pPr>
    </w:p>
    <w:p w14:paraId="1ECE45F6" w14:textId="449937D9" w:rsidR="00A02DC7" w:rsidRPr="00DF668B" w:rsidRDefault="004C0C4B" w:rsidP="68CF97A3">
      <w:pPr>
        <w:pStyle w:val="Textoindependiente"/>
        <w:jc w:val="left"/>
        <w:rPr>
          <w:rFonts w:cs="Arial"/>
          <w:color w:val="BFBFBF" w:themeColor="background1" w:themeShade="BF"/>
          <w:lang w:val="es-CO"/>
        </w:rPr>
      </w:pPr>
      <w:r w:rsidRPr="00DF668B">
        <w:rPr>
          <w:rFonts w:cs="Arial"/>
          <w:b/>
          <w:bCs/>
          <w:lang w:val="es-CO"/>
        </w:rPr>
        <w:t>F</w:t>
      </w:r>
      <w:r w:rsidR="00A02DC7" w:rsidRPr="00DF668B">
        <w:rPr>
          <w:rFonts w:cs="Arial"/>
          <w:b/>
          <w:bCs/>
          <w:lang w:val="es-CO"/>
        </w:rPr>
        <w:t>echa:</w:t>
      </w:r>
      <w:r w:rsidRPr="00DF668B">
        <w:rPr>
          <w:lang w:val="es-CO"/>
        </w:rPr>
        <w:tab/>
      </w:r>
      <w:r w:rsidRPr="00DF668B">
        <w:rPr>
          <w:lang w:val="es-CO"/>
        </w:rPr>
        <w:tab/>
      </w:r>
      <w:r w:rsidR="007B53BF">
        <w:rPr>
          <w:lang w:val="es-CO"/>
        </w:rPr>
        <w:t>2</w:t>
      </w:r>
      <w:r w:rsidR="009A0A35">
        <w:rPr>
          <w:lang w:val="es-CO"/>
        </w:rPr>
        <w:t>6</w:t>
      </w:r>
      <w:r w:rsidR="00A02DC7" w:rsidRPr="00DF668B">
        <w:rPr>
          <w:rFonts w:cs="Arial"/>
          <w:lang w:val="es-CO"/>
        </w:rPr>
        <w:t xml:space="preserve"> </w:t>
      </w:r>
      <w:r w:rsidR="009D3473">
        <w:rPr>
          <w:rFonts w:cs="Arial"/>
          <w:lang w:val="es-CO"/>
        </w:rPr>
        <w:t xml:space="preserve">de </w:t>
      </w:r>
      <w:r w:rsidR="009A0A35">
        <w:rPr>
          <w:rFonts w:cs="Arial"/>
          <w:lang w:val="es-CO"/>
        </w:rPr>
        <w:t>junio</w:t>
      </w:r>
      <w:r w:rsidR="009D3473">
        <w:rPr>
          <w:rFonts w:cs="Arial"/>
          <w:lang w:val="es-CO"/>
        </w:rPr>
        <w:t xml:space="preserve"> de 2026</w:t>
      </w:r>
    </w:p>
    <w:p w14:paraId="3A9118B6" w14:textId="77777777" w:rsidR="004C0C4B" w:rsidRPr="00DF668B" w:rsidRDefault="004C0C4B" w:rsidP="004C0C4B">
      <w:pPr>
        <w:pStyle w:val="Textoindependiente"/>
        <w:jc w:val="left"/>
        <w:rPr>
          <w:rFonts w:cs="Arial"/>
          <w:b/>
          <w:szCs w:val="24"/>
          <w:lang w:val="es-CO"/>
        </w:rPr>
      </w:pPr>
    </w:p>
    <w:p w14:paraId="6B6DCC91" w14:textId="217320AE" w:rsidR="004C0C4B" w:rsidRPr="00DF668B" w:rsidRDefault="004C0C4B" w:rsidP="68CF97A3">
      <w:pPr>
        <w:pStyle w:val="Textoindependiente"/>
        <w:jc w:val="left"/>
        <w:rPr>
          <w:rFonts w:cs="Arial"/>
          <w:lang w:val="es-CO"/>
        </w:rPr>
      </w:pPr>
      <w:r w:rsidRPr="00DF668B">
        <w:rPr>
          <w:rFonts w:cs="Arial"/>
          <w:b/>
          <w:bCs/>
          <w:lang w:val="es-CO"/>
        </w:rPr>
        <w:t>H</w:t>
      </w:r>
      <w:r w:rsidR="00A02DC7" w:rsidRPr="00DF668B">
        <w:rPr>
          <w:rFonts w:cs="Arial"/>
          <w:b/>
          <w:bCs/>
          <w:lang w:val="es-CO"/>
        </w:rPr>
        <w:t>ora</w:t>
      </w:r>
      <w:r w:rsidRPr="00DF668B">
        <w:rPr>
          <w:rFonts w:cs="Arial"/>
          <w:b/>
          <w:bCs/>
          <w:lang w:val="es-CO"/>
        </w:rPr>
        <w:t>:</w:t>
      </w:r>
      <w:r w:rsidRPr="00DF668B">
        <w:rPr>
          <w:lang w:val="es-CO"/>
        </w:rPr>
        <w:tab/>
      </w:r>
      <w:r w:rsidRPr="00DF668B">
        <w:rPr>
          <w:lang w:val="es-CO"/>
        </w:rPr>
        <w:tab/>
      </w:r>
      <w:r w:rsidR="00A02DC7" w:rsidRPr="00DF668B">
        <w:rPr>
          <w:lang w:val="es-CO"/>
        </w:rPr>
        <w:tab/>
      </w:r>
      <w:r w:rsidRPr="00DF668B">
        <w:rPr>
          <w:rFonts w:cs="Arial"/>
          <w:lang w:val="es-CO"/>
        </w:rPr>
        <w:t>De las</w:t>
      </w:r>
      <w:r w:rsidR="00A02DC7" w:rsidRPr="00DF668B">
        <w:rPr>
          <w:rFonts w:cs="Arial"/>
          <w:lang w:val="es-CO"/>
        </w:rPr>
        <w:t xml:space="preserve"> </w:t>
      </w:r>
      <w:r w:rsidR="007B53BF">
        <w:rPr>
          <w:rFonts w:cs="Arial"/>
          <w:lang w:val="es-CO"/>
        </w:rPr>
        <w:t>1</w:t>
      </w:r>
      <w:r w:rsidR="00427BF7">
        <w:rPr>
          <w:rFonts w:cs="Arial"/>
          <w:lang w:val="es-CO"/>
        </w:rPr>
        <w:t>0</w:t>
      </w:r>
      <w:r w:rsidR="009D3473">
        <w:rPr>
          <w:rFonts w:cs="Arial"/>
          <w:lang w:val="es-CO"/>
        </w:rPr>
        <w:t>:</w:t>
      </w:r>
      <w:r w:rsidR="0098422A">
        <w:rPr>
          <w:rFonts w:cs="Arial"/>
          <w:lang w:val="es-CO"/>
        </w:rPr>
        <w:t>0</w:t>
      </w:r>
      <w:r w:rsidR="009D3473">
        <w:rPr>
          <w:rFonts w:cs="Arial"/>
          <w:lang w:val="es-CO"/>
        </w:rPr>
        <w:t>0</w:t>
      </w:r>
      <w:r w:rsidRPr="00DF668B">
        <w:rPr>
          <w:rFonts w:cs="Arial"/>
          <w:lang w:val="es-CO"/>
        </w:rPr>
        <w:t xml:space="preserve"> </w:t>
      </w:r>
      <w:r w:rsidR="00427BF7">
        <w:rPr>
          <w:rFonts w:cs="Arial"/>
          <w:lang w:val="es-CO"/>
        </w:rPr>
        <w:t xml:space="preserve">AM </w:t>
      </w:r>
      <w:r w:rsidRPr="00DF668B">
        <w:rPr>
          <w:rFonts w:cs="Arial"/>
          <w:lang w:val="es-CO"/>
        </w:rPr>
        <w:t xml:space="preserve">a las </w:t>
      </w:r>
      <w:r w:rsidR="00FB3306">
        <w:rPr>
          <w:rFonts w:cs="Arial"/>
          <w:lang w:val="es-CO"/>
        </w:rPr>
        <w:t>1</w:t>
      </w:r>
      <w:r w:rsidR="00427BF7">
        <w:rPr>
          <w:rFonts w:cs="Arial"/>
          <w:lang w:val="es-CO"/>
        </w:rPr>
        <w:t>1:00 AM</w:t>
      </w:r>
    </w:p>
    <w:p w14:paraId="72A2F145" w14:textId="04D2EF30" w:rsidR="004C0C4B" w:rsidRPr="00DF668B" w:rsidRDefault="004C0C4B" w:rsidP="68CF97A3">
      <w:pPr>
        <w:pStyle w:val="Textoindependiente"/>
        <w:jc w:val="left"/>
        <w:rPr>
          <w:szCs w:val="24"/>
          <w:lang w:val="es-CO"/>
        </w:rPr>
      </w:pPr>
    </w:p>
    <w:p w14:paraId="45AEFC62" w14:textId="77777777" w:rsidR="004C0C4B" w:rsidRPr="00DF668B" w:rsidRDefault="004C0C4B" w:rsidP="004C0C4B">
      <w:pPr>
        <w:pStyle w:val="Textoindependiente"/>
        <w:jc w:val="left"/>
        <w:rPr>
          <w:rFonts w:cs="Arial"/>
          <w:szCs w:val="24"/>
          <w:lang w:val="es-CO"/>
        </w:rPr>
      </w:pPr>
    </w:p>
    <w:p w14:paraId="2D2CE8B2" w14:textId="41A240D2" w:rsidR="007B3153" w:rsidRPr="00DF668B" w:rsidRDefault="004C0C4B" w:rsidP="68CF97A3">
      <w:pPr>
        <w:pStyle w:val="Textoindependiente"/>
        <w:jc w:val="left"/>
        <w:rPr>
          <w:rFonts w:eastAsia="Arial" w:cs="Arial"/>
          <w:b/>
          <w:bCs/>
          <w:szCs w:val="24"/>
          <w:lang w:val="es-CO"/>
        </w:rPr>
      </w:pPr>
      <w:r w:rsidRPr="00DF668B">
        <w:rPr>
          <w:rFonts w:eastAsia="Arial" w:cs="Arial"/>
          <w:b/>
          <w:bCs/>
          <w:szCs w:val="24"/>
          <w:lang w:val="es-CO"/>
        </w:rPr>
        <w:t>A</w:t>
      </w:r>
      <w:r w:rsidR="00A02DC7" w:rsidRPr="00DF668B">
        <w:rPr>
          <w:rFonts w:eastAsia="Arial" w:cs="Arial"/>
          <w:b/>
          <w:bCs/>
          <w:szCs w:val="24"/>
          <w:lang w:val="es-CO"/>
        </w:rPr>
        <w:t xml:space="preserve">sistentes: </w:t>
      </w:r>
    </w:p>
    <w:p w14:paraId="1BF2495E" w14:textId="27794FEE" w:rsidR="68CF97A3" w:rsidRDefault="00427BF7" w:rsidP="68CF97A3">
      <w:pPr>
        <w:pStyle w:val="Textoindependiente"/>
        <w:jc w:val="left"/>
        <w:rPr>
          <w:rFonts w:eastAsia="Arial" w:cs="Arial"/>
          <w:szCs w:val="24"/>
          <w:lang w:val="es-CO"/>
        </w:rPr>
      </w:pPr>
      <w:r>
        <w:rPr>
          <w:rFonts w:eastAsia="Arial" w:cs="Arial"/>
          <w:szCs w:val="24"/>
          <w:lang w:val="es-CO"/>
        </w:rPr>
        <w:t xml:space="preserve">Juan </w:t>
      </w:r>
      <w:r w:rsidR="009A0A35">
        <w:rPr>
          <w:rFonts w:eastAsia="Arial" w:cs="Arial"/>
          <w:szCs w:val="24"/>
          <w:lang w:val="es-CO"/>
        </w:rPr>
        <w:t xml:space="preserve">Esteban Rodríguez </w:t>
      </w:r>
      <w:r>
        <w:rPr>
          <w:rFonts w:eastAsia="Arial" w:cs="Arial"/>
          <w:szCs w:val="24"/>
          <w:lang w:val="es-CO"/>
        </w:rPr>
        <w:t xml:space="preserve">- MME, </w:t>
      </w:r>
      <w:r w:rsidR="007B53BF">
        <w:rPr>
          <w:rFonts w:eastAsia="Arial" w:cs="Arial"/>
          <w:szCs w:val="24"/>
          <w:lang w:val="es-CO"/>
        </w:rPr>
        <w:t>Farid Alejandro Tovar</w:t>
      </w:r>
      <w:r>
        <w:rPr>
          <w:rFonts w:eastAsia="Arial" w:cs="Arial"/>
          <w:szCs w:val="24"/>
          <w:lang w:val="es-CO"/>
        </w:rPr>
        <w:t xml:space="preserve"> - MME</w:t>
      </w:r>
      <w:r w:rsidR="007117F6">
        <w:rPr>
          <w:rFonts w:eastAsia="Arial" w:cs="Arial"/>
          <w:szCs w:val="24"/>
          <w:lang w:val="es-CO"/>
        </w:rPr>
        <w:t xml:space="preserve">, </w:t>
      </w:r>
      <w:r>
        <w:rPr>
          <w:rFonts w:eastAsia="Arial" w:cs="Arial"/>
          <w:szCs w:val="24"/>
          <w:lang w:val="es-CO"/>
        </w:rPr>
        <w:t>Angela Buendia - XM</w:t>
      </w:r>
    </w:p>
    <w:p w14:paraId="3CCAE49D" w14:textId="77777777" w:rsidR="007117F6" w:rsidRPr="00DF668B" w:rsidRDefault="007117F6" w:rsidP="68CF97A3">
      <w:pPr>
        <w:pStyle w:val="Textoindependiente"/>
        <w:jc w:val="left"/>
        <w:rPr>
          <w:b/>
          <w:bCs/>
          <w:szCs w:val="24"/>
          <w:lang w:val="es-CO"/>
        </w:rPr>
      </w:pPr>
    </w:p>
    <w:p w14:paraId="2B8827D4" w14:textId="56388214" w:rsidR="007B3153" w:rsidRPr="00DF668B" w:rsidRDefault="004C0C4B" w:rsidP="004C0C4B">
      <w:pPr>
        <w:pStyle w:val="Textoindependiente"/>
        <w:jc w:val="left"/>
        <w:rPr>
          <w:rFonts w:cs="Arial"/>
          <w:b/>
          <w:szCs w:val="24"/>
          <w:lang w:val="es-CO"/>
        </w:rPr>
      </w:pPr>
      <w:r w:rsidRPr="00DF668B">
        <w:rPr>
          <w:rFonts w:cs="Arial"/>
          <w:b/>
          <w:szCs w:val="24"/>
          <w:lang w:val="es-CO"/>
        </w:rPr>
        <w:t>I</w:t>
      </w:r>
      <w:r w:rsidR="00A02DC7" w:rsidRPr="00DF668B">
        <w:rPr>
          <w:rFonts w:cs="Arial"/>
          <w:b/>
          <w:szCs w:val="24"/>
          <w:lang w:val="es-CO"/>
        </w:rPr>
        <w:t>nvitados:</w:t>
      </w:r>
    </w:p>
    <w:p w14:paraId="2421FBFC" w14:textId="29ED9128" w:rsidR="004C0C4B" w:rsidRPr="00DF668B" w:rsidRDefault="00282FED" w:rsidP="004C0C4B">
      <w:pPr>
        <w:pStyle w:val="Textoindependiente"/>
        <w:jc w:val="left"/>
        <w:rPr>
          <w:rFonts w:eastAsia="Arial" w:cs="Arial"/>
          <w:b/>
          <w:bCs/>
          <w:color w:val="A6A6A6" w:themeColor="background1" w:themeShade="A6"/>
          <w:szCs w:val="24"/>
          <w:lang w:val="es-CO"/>
        </w:rPr>
      </w:pPr>
      <w:r w:rsidRPr="00DF668B">
        <w:rPr>
          <w:rFonts w:eastAsia="Arial" w:cs="Arial"/>
          <w:b/>
          <w:bCs/>
          <w:color w:val="BFBFBF" w:themeColor="background1" w:themeShade="BF"/>
          <w:szCs w:val="24"/>
          <w:lang w:val="es-CO"/>
        </w:rPr>
        <w:t>(Indicar nombre y cargo o designación)</w:t>
      </w:r>
    </w:p>
    <w:p w14:paraId="19E66B73" w14:textId="77777777" w:rsidR="00282FED" w:rsidRPr="00DF668B" w:rsidRDefault="00282FED" w:rsidP="004C0C4B">
      <w:pPr>
        <w:pStyle w:val="Textoindependiente"/>
        <w:jc w:val="left"/>
        <w:rPr>
          <w:rFonts w:cs="Arial"/>
          <w:szCs w:val="24"/>
          <w:lang w:val="es-CO"/>
        </w:rPr>
      </w:pPr>
    </w:p>
    <w:p w14:paraId="419FC9D1" w14:textId="7D1B64C0" w:rsidR="00A02DC7" w:rsidRPr="00DF668B" w:rsidRDefault="004C0C4B" w:rsidP="004C0C4B">
      <w:pPr>
        <w:pStyle w:val="Textoindependiente"/>
        <w:jc w:val="left"/>
        <w:rPr>
          <w:rFonts w:cs="Arial"/>
          <w:b/>
          <w:szCs w:val="24"/>
          <w:lang w:val="es-CO"/>
        </w:rPr>
      </w:pPr>
      <w:r w:rsidRPr="00DF668B">
        <w:rPr>
          <w:rFonts w:cs="Arial"/>
          <w:b/>
          <w:szCs w:val="24"/>
          <w:lang w:val="es-CO"/>
        </w:rPr>
        <w:t>A</w:t>
      </w:r>
      <w:r w:rsidR="00A02DC7" w:rsidRPr="00DF668B">
        <w:rPr>
          <w:rFonts w:cs="Arial"/>
          <w:b/>
          <w:szCs w:val="24"/>
          <w:lang w:val="es-CO"/>
        </w:rPr>
        <w:t>usentes:</w:t>
      </w:r>
    </w:p>
    <w:p w14:paraId="13D19D29" w14:textId="2E00494C" w:rsidR="00A02DC7" w:rsidRPr="00DF668B" w:rsidRDefault="00282FED" w:rsidP="00A02DC7">
      <w:pPr>
        <w:pStyle w:val="Textoindependiente"/>
        <w:jc w:val="left"/>
        <w:rPr>
          <w:rFonts w:eastAsia="Arial" w:cs="Arial"/>
          <w:b/>
          <w:bCs/>
          <w:color w:val="A6A6A6" w:themeColor="background1" w:themeShade="A6"/>
          <w:szCs w:val="24"/>
          <w:lang w:val="es-CO"/>
        </w:rPr>
      </w:pPr>
      <w:r w:rsidRPr="00DF668B">
        <w:rPr>
          <w:rFonts w:eastAsia="Arial" w:cs="Arial"/>
          <w:b/>
          <w:bCs/>
          <w:color w:val="BFBFBF" w:themeColor="background1" w:themeShade="BF"/>
          <w:szCs w:val="24"/>
          <w:lang w:val="es-CO"/>
        </w:rPr>
        <w:t>(Indicar nombre y cargo o designación)</w:t>
      </w:r>
      <w:r w:rsidR="00A02DC7" w:rsidRPr="00DF668B">
        <w:rPr>
          <w:rFonts w:eastAsia="Arial" w:cs="Arial"/>
          <w:b/>
          <w:bCs/>
          <w:color w:val="A6A6A6" w:themeColor="background1" w:themeShade="A6"/>
          <w:szCs w:val="24"/>
          <w:lang w:val="es-CO"/>
        </w:rPr>
        <w:tab/>
      </w:r>
    </w:p>
    <w:p w14:paraId="46CCBAC7" w14:textId="6B86D6F4" w:rsidR="004C0C4B" w:rsidRPr="00DF668B" w:rsidRDefault="004C0C4B" w:rsidP="004C0C4B">
      <w:pPr>
        <w:pStyle w:val="Textoindependiente"/>
        <w:jc w:val="left"/>
        <w:rPr>
          <w:rFonts w:cs="Arial"/>
          <w:szCs w:val="24"/>
          <w:lang w:val="es-CO"/>
        </w:rPr>
      </w:pPr>
      <w:r w:rsidRPr="00DF668B">
        <w:rPr>
          <w:rFonts w:cs="Arial"/>
          <w:b/>
          <w:szCs w:val="24"/>
          <w:lang w:val="es-CO"/>
        </w:rPr>
        <w:tab/>
      </w:r>
    </w:p>
    <w:p w14:paraId="37264207" w14:textId="77777777" w:rsidR="004C0C4B" w:rsidRPr="00DF668B" w:rsidRDefault="004C0C4B" w:rsidP="004C0C4B">
      <w:pPr>
        <w:pStyle w:val="Textoindependiente"/>
        <w:jc w:val="left"/>
        <w:rPr>
          <w:rFonts w:cs="Arial"/>
          <w:szCs w:val="24"/>
          <w:lang w:val="es-CO"/>
        </w:rPr>
      </w:pPr>
    </w:p>
    <w:p w14:paraId="4A65F1E2" w14:textId="77777777" w:rsidR="004C0C4B" w:rsidRPr="00DF668B" w:rsidRDefault="004C0C4B" w:rsidP="004C0C4B">
      <w:pPr>
        <w:pStyle w:val="Textoindependiente"/>
        <w:jc w:val="left"/>
        <w:rPr>
          <w:rFonts w:cs="Arial"/>
          <w:b/>
          <w:szCs w:val="24"/>
          <w:lang w:val="es-CO"/>
        </w:rPr>
      </w:pPr>
      <w:r w:rsidRPr="00DF668B">
        <w:rPr>
          <w:rFonts w:cs="Arial"/>
          <w:b/>
          <w:szCs w:val="24"/>
          <w:lang w:val="es-CO"/>
        </w:rPr>
        <w:t>ORDEN DEL DÍA</w:t>
      </w:r>
    </w:p>
    <w:p w14:paraId="43FD4CCF" w14:textId="77777777" w:rsidR="004C0C4B" w:rsidRPr="00DF668B" w:rsidRDefault="004C0C4B" w:rsidP="004C0C4B">
      <w:pPr>
        <w:pStyle w:val="Textoindependiente"/>
        <w:jc w:val="left"/>
        <w:rPr>
          <w:rFonts w:cs="Arial"/>
          <w:szCs w:val="24"/>
          <w:lang w:val="es-CO"/>
        </w:rPr>
      </w:pPr>
    </w:p>
    <w:p w14:paraId="1DB5D26A" w14:textId="77777777" w:rsidR="0079673B" w:rsidRPr="0079673B" w:rsidRDefault="0079673B" w:rsidP="0079673B">
      <w:pPr>
        <w:pStyle w:val="Textoindependiente"/>
        <w:numPr>
          <w:ilvl w:val="0"/>
          <w:numId w:val="14"/>
        </w:numPr>
        <w:rPr>
          <w:rFonts w:cs="Arial"/>
          <w:szCs w:val="24"/>
          <w:lang w:val="es-CO"/>
        </w:rPr>
      </w:pPr>
      <w:r w:rsidRPr="0079673B">
        <w:rPr>
          <w:rFonts w:cs="Arial"/>
          <w:szCs w:val="24"/>
          <w:lang w:val="es-CO"/>
        </w:rPr>
        <w:t>Apertura de la reunión</w:t>
      </w:r>
    </w:p>
    <w:p w14:paraId="6355E155" w14:textId="77777777" w:rsidR="0079673B" w:rsidRPr="0079673B" w:rsidRDefault="0079673B" w:rsidP="0079673B">
      <w:pPr>
        <w:pStyle w:val="Textoindependiente"/>
        <w:numPr>
          <w:ilvl w:val="0"/>
          <w:numId w:val="14"/>
        </w:numPr>
        <w:rPr>
          <w:rFonts w:cs="Arial"/>
          <w:szCs w:val="24"/>
          <w:lang w:val="es-CO"/>
        </w:rPr>
      </w:pPr>
      <w:r w:rsidRPr="0079673B">
        <w:rPr>
          <w:rFonts w:cs="Arial"/>
          <w:szCs w:val="24"/>
          <w:lang w:val="es-CO"/>
        </w:rPr>
        <w:t>Presentación por parte de XM del seguimiento a la meta de 6 GW de fuentes no convencionales de energía renovable (FNCER) — corte 1 de junio de 2026</w:t>
      </w:r>
    </w:p>
    <w:p w14:paraId="70B255E3" w14:textId="77777777" w:rsidR="0079673B" w:rsidRPr="0079673B" w:rsidRDefault="0079673B" w:rsidP="0079673B">
      <w:pPr>
        <w:pStyle w:val="Textoindependiente"/>
        <w:numPr>
          <w:ilvl w:val="0"/>
          <w:numId w:val="14"/>
        </w:numPr>
        <w:rPr>
          <w:rFonts w:cs="Arial"/>
          <w:szCs w:val="24"/>
          <w:lang w:val="es-CO"/>
        </w:rPr>
      </w:pPr>
      <w:r w:rsidRPr="0079673B">
        <w:rPr>
          <w:rFonts w:cs="Arial"/>
          <w:szCs w:val="24"/>
          <w:lang w:val="es-CO"/>
        </w:rPr>
        <w:t>Discusión y preguntas</w:t>
      </w:r>
    </w:p>
    <w:p w14:paraId="704A6F9C" w14:textId="0495E7C5" w:rsidR="004C0C4B" w:rsidRDefault="0079673B" w:rsidP="0079673B">
      <w:pPr>
        <w:pStyle w:val="Textoindependiente"/>
        <w:numPr>
          <w:ilvl w:val="0"/>
          <w:numId w:val="14"/>
        </w:numPr>
        <w:rPr>
          <w:rFonts w:cs="Arial"/>
          <w:szCs w:val="24"/>
          <w:lang w:val="es-CO"/>
        </w:rPr>
      </w:pPr>
      <w:r w:rsidRPr="0079673B">
        <w:rPr>
          <w:rFonts w:cs="Arial"/>
          <w:szCs w:val="24"/>
          <w:lang w:val="es-CO"/>
        </w:rPr>
        <w:t>Compromisos y cierre</w:t>
      </w:r>
    </w:p>
    <w:p w14:paraId="33289FB3" w14:textId="77777777" w:rsidR="0079673B" w:rsidRPr="00DF668B" w:rsidRDefault="0079673B" w:rsidP="0079673B">
      <w:pPr>
        <w:pStyle w:val="Textoindependiente"/>
        <w:rPr>
          <w:rFonts w:cs="Arial"/>
          <w:szCs w:val="24"/>
          <w:lang w:val="es-CO"/>
        </w:rPr>
      </w:pPr>
    </w:p>
    <w:p w14:paraId="4C03D5D1" w14:textId="39A5C1A1" w:rsidR="004C0C4B" w:rsidRPr="00DF668B" w:rsidRDefault="004C0C4B" w:rsidP="004C0C4B">
      <w:pPr>
        <w:pStyle w:val="Textoindependiente"/>
        <w:rPr>
          <w:rFonts w:cs="Arial"/>
          <w:szCs w:val="24"/>
          <w:lang w:val="es-CO"/>
        </w:rPr>
      </w:pPr>
      <w:r w:rsidRPr="00DF668B">
        <w:rPr>
          <w:rFonts w:cs="Arial"/>
          <w:b/>
          <w:szCs w:val="24"/>
          <w:lang w:val="es-CO"/>
        </w:rPr>
        <w:t>DESARROLLO</w:t>
      </w:r>
      <w:r w:rsidR="00A02DC7" w:rsidRPr="00DF668B">
        <w:rPr>
          <w:rFonts w:cs="Arial"/>
          <w:b/>
          <w:szCs w:val="24"/>
          <w:lang w:val="es-CO"/>
        </w:rPr>
        <w:t>:</w:t>
      </w:r>
      <w:r w:rsidR="007B3153" w:rsidRPr="00DF668B">
        <w:rPr>
          <w:rFonts w:cs="Arial"/>
          <w:b/>
          <w:szCs w:val="24"/>
          <w:lang w:val="es-CO"/>
        </w:rPr>
        <w:t xml:space="preserve"> </w:t>
      </w:r>
    </w:p>
    <w:p w14:paraId="4A2E83C6" w14:textId="77777777" w:rsidR="004C0C4B" w:rsidRPr="00DF668B" w:rsidRDefault="004C0C4B" w:rsidP="004C0C4B">
      <w:pPr>
        <w:pStyle w:val="Textoindependiente"/>
        <w:rPr>
          <w:rFonts w:cs="Arial"/>
          <w:szCs w:val="24"/>
          <w:lang w:val="es-CO"/>
        </w:rPr>
      </w:pPr>
    </w:p>
    <w:p w14:paraId="1047EE1C" w14:textId="77777777" w:rsidR="004F2D4C" w:rsidRDefault="004F2D4C" w:rsidP="004F2D4C">
      <w:pPr>
        <w:pStyle w:val="Textoindependiente"/>
        <w:rPr>
          <w:rFonts w:cs="Arial"/>
          <w:b/>
          <w:bCs/>
          <w:szCs w:val="24"/>
        </w:rPr>
      </w:pPr>
      <w:r w:rsidRPr="004F2D4C">
        <w:rPr>
          <w:rFonts w:cs="Arial"/>
          <w:b/>
          <w:bCs/>
          <w:szCs w:val="24"/>
        </w:rPr>
        <w:t>Punto 1. Apertura de la reunión</w:t>
      </w:r>
    </w:p>
    <w:p w14:paraId="010E06DD" w14:textId="77777777" w:rsidR="004F2D4C" w:rsidRPr="004F2D4C" w:rsidRDefault="004F2D4C" w:rsidP="004F2D4C">
      <w:pPr>
        <w:pStyle w:val="Textoindependiente"/>
        <w:rPr>
          <w:rFonts w:cs="Arial"/>
          <w:szCs w:val="24"/>
        </w:rPr>
      </w:pPr>
    </w:p>
    <w:p w14:paraId="32866C22" w14:textId="2A658236" w:rsidR="004F2D4C" w:rsidRPr="004F2D4C" w:rsidRDefault="004F2D4C" w:rsidP="004F2D4C">
      <w:pPr>
        <w:pStyle w:val="Textoindependiente"/>
        <w:rPr>
          <w:rFonts w:cs="Arial"/>
          <w:szCs w:val="24"/>
        </w:rPr>
      </w:pPr>
      <w:r w:rsidRPr="004F2D4C">
        <w:rPr>
          <w:rFonts w:cs="Arial"/>
          <w:szCs w:val="24"/>
        </w:rPr>
        <w:t>El</w:t>
      </w:r>
      <w:r>
        <w:rPr>
          <w:rFonts w:cs="Arial"/>
          <w:szCs w:val="24"/>
        </w:rPr>
        <w:t xml:space="preserve"> </w:t>
      </w:r>
      <w:r w:rsidRPr="004F2D4C">
        <w:rPr>
          <w:rFonts w:cs="Arial"/>
          <w:szCs w:val="24"/>
        </w:rPr>
        <w:t>delegado del Ministerio de Minas y Energía dio apertura a la reunión y agradeció la participación de los representantes de XM. Se indicó que el objeto de la sesión era recibir el reporte periódico de seguimiento a la incorporación de proyectos FNCER al Sistema Interconectado Nacional (SIN), en el marco del monitoreo institucional que adelanta la Dirección de Energía Eléctrica sobre el avance hacia la meta de 6 GW establecida por el Gobierno Nacional.</w:t>
      </w:r>
    </w:p>
    <w:p w14:paraId="69EF2486" w14:textId="77777777" w:rsidR="004F2D4C" w:rsidRPr="004F2D4C" w:rsidRDefault="004F2D4C" w:rsidP="004F2D4C">
      <w:pPr>
        <w:pStyle w:val="Textoindependiente"/>
        <w:rPr>
          <w:rFonts w:cs="Arial"/>
          <w:szCs w:val="24"/>
        </w:rPr>
      </w:pPr>
      <w:r w:rsidRPr="004F2D4C">
        <w:rPr>
          <w:rFonts w:cs="Arial"/>
          <w:szCs w:val="24"/>
        </w:rPr>
        <w:pict w14:anchorId="6D22648E">
          <v:rect id="_x0000_i1051" style="width:0;height:1.5pt" o:hralign="center" o:hrstd="t" o:hr="t" fillcolor="#a0a0a0" stroked="f"/>
        </w:pict>
      </w:r>
    </w:p>
    <w:p w14:paraId="16591029" w14:textId="77777777" w:rsidR="004F2D4C" w:rsidRDefault="004F2D4C" w:rsidP="004F2D4C">
      <w:pPr>
        <w:pStyle w:val="Textoindependiente"/>
        <w:rPr>
          <w:rFonts w:cs="Arial"/>
          <w:b/>
          <w:bCs/>
          <w:szCs w:val="24"/>
        </w:rPr>
      </w:pPr>
      <w:r w:rsidRPr="004F2D4C">
        <w:rPr>
          <w:rFonts w:cs="Arial"/>
          <w:b/>
          <w:bCs/>
          <w:szCs w:val="24"/>
        </w:rPr>
        <w:lastRenderedPageBreak/>
        <w:t>Punto 2. Presentación por parte de XM del seguimiento a la meta de 6 GW — corte 1 de junio de 2026</w:t>
      </w:r>
    </w:p>
    <w:p w14:paraId="4C3FDE9F" w14:textId="77777777" w:rsidR="004E1642" w:rsidRPr="004F2D4C" w:rsidRDefault="004E1642" w:rsidP="004F2D4C">
      <w:pPr>
        <w:pStyle w:val="Textoindependiente"/>
        <w:rPr>
          <w:rFonts w:cs="Arial"/>
          <w:szCs w:val="24"/>
        </w:rPr>
      </w:pPr>
    </w:p>
    <w:p w14:paraId="71CDA273" w14:textId="77777777" w:rsidR="004F2D4C" w:rsidRDefault="004F2D4C" w:rsidP="004F2D4C">
      <w:pPr>
        <w:pStyle w:val="Textoindependiente"/>
        <w:rPr>
          <w:rFonts w:cs="Arial"/>
          <w:szCs w:val="24"/>
        </w:rPr>
      </w:pPr>
      <w:r w:rsidRPr="004F2D4C">
        <w:rPr>
          <w:rFonts w:cs="Arial"/>
          <w:szCs w:val="24"/>
        </w:rPr>
        <w:t xml:space="preserve">XM realizó la presentación titulada </w:t>
      </w:r>
      <w:r w:rsidRPr="004F2D4C">
        <w:rPr>
          <w:rFonts w:cs="Arial"/>
          <w:i/>
          <w:iCs/>
          <w:szCs w:val="24"/>
        </w:rPr>
        <w:t>Seguimiento meta 6 GW — Junio 2026</w:t>
      </w:r>
      <w:r w:rsidRPr="004F2D4C">
        <w:rPr>
          <w:rFonts w:cs="Arial"/>
          <w:szCs w:val="24"/>
        </w:rPr>
        <w:t>, con corte al 1 de junio de 2026, estructurada en los siguientes componentes:</w:t>
      </w:r>
    </w:p>
    <w:p w14:paraId="0EABFE14" w14:textId="77777777" w:rsidR="004E1642" w:rsidRPr="004F2D4C" w:rsidRDefault="004E1642" w:rsidP="004F2D4C">
      <w:pPr>
        <w:pStyle w:val="Textoindependiente"/>
        <w:rPr>
          <w:rFonts w:cs="Arial"/>
          <w:szCs w:val="24"/>
        </w:rPr>
      </w:pPr>
    </w:p>
    <w:p w14:paraId="78DE0066" w14:textId="77777777" w:rsidR="004F2D4C" w:rsidRDefault="004F2D4C" w:rsidP="004F2D4C">
      <w:pPr>
        <w:pStyle w:val="Textoindependiente"/>
        <w:rPr>
          <w:rFonts w:cs="Arial"/>
          <w:b/>
          <w:bCs/>
          <w:szCs w:val="24"/>
        </w:rPr>
      </w:pPr>
      <w:r w:rsidRPr="004F2D4C">
        <w:rPr>
          <w:rFonts w:cs="Arial"/>
          <w:b/>
          <w:bCs/>
          <w:szCs w:val="24"/>
        </w:rPr>
        <w:t>2.1. Estado de plantas eólicas y solares en pruebas</w:t>
      </w:r>
    </w:p>
    <w:p w14:paraId="48AAE23C" w14:textId="77777777" w:rsidR="004E1642" w:rsidRPr="004F2D4C" w:rsidRDefault="004E1642" w:rsidP="004F2D4C">
      <w:pPr>
        <w:pStyle w:val="Textoindependiente"/>
        <w:rPr>
          <w:rFonts w:cs="Arial"/>
          <w:szCs w:val="24"/>
        </w:rPr>
      </w:pPr>
    </w:p>
    <w:p w14:paraId="77C2352C" w14:textId="77777777" w:rsidR="004F2D4C" w:rsidRDefault="004F2D4C" w:rsidP="004F2D4C">
      <w:pPr>
        <w:pStyle w:val="Textoindependiente"/>
        <w:rPr>
          <w:rFonts w:cs="Arial"/>
          <w:szCs w:val="24"/>
        </w:rPr>
      </w:pPr>
      <w:r w:rsidRPr="004F2D4C">
        <w:rPr>
          <w:rFonts w:cs="Arial"/>
          <w:szCs w:val="24"/>
        </w:rPr>
        <w:t xml:space="preserve">XM reportó que a la fecha de corte se encontraban en fase de pruebas un total de </w:t>
      </w:r>
      <w:r w:rsidRPr="004F2D4C">
        <w:rPr>
          <w:rFonts w:cs="Arial"/>
          <w:b/>
          <w:bCs/>
          <w:szCs w:val="24"/>
        </w:rPr>
        <w:t>1.454,74 MW solares y 41 MW eólicos</w:t>
      </w:r>
      <w:r w:rsidRPr="004F2D4C">
        <w:rPr>
          <w:rFonts w:cs="Arial"/>
          <w:szCs w:val="24"/>
        </w:rPr>
        <w:t xml:space="preserve">, para un subtotal de </w:t>
      </w:r>
      <w:r w:rsidRPr="004F2D4C">
        <w:rPr>
          <w:rFonts w:cs="Arial"/>
          <w:b/>
          <w:bCs/>
          <w:szCs w:val="24"/>
        </w:rPr>
        <w:t>1.495,74 MW</w:t>
      </w:r>
      <w:r w:rsidRPr="004F2D4C">
        <w:rPr>
          <w:rFonts w:cs="Arial"/>
          <w:szCs w:val="24"/>
        </w:rPr>
        <w:t xml:space="preserve"> distribuidos en 111 proyectos. La distribución regional de la capacidad solar en pruebas evidencia una alta concentración en los departamentos de Cundinamarca (367,33 MW), Tolima (237,20 MW), Atlántico (199,00 MW) y Meta (102,70 MW), entre otros. En el componente eólico, la totalidad de la capacidad en pruebas (41 MW) corresponde a proyectos en La Guajira.</w:t>
      </w:r>
    </w:p>
    <w:p w14:paraId="052C0A14" w14:textId="77777777" w:rsidR="004E1642" w:rsidRPr="004F2D4C" w:rsidRDefault="004E1642" w:rsidP="004F2D4C">
      <w:pPr>
        <w:pStyle w:val="Textoindependiente"/>
        <w:rPr>
          <w:rFonts w:cs="Arial"/>
          <w:szCs w:val="24"/>
        </w:rPr>
      </w:pPr>
    </w:p>
    <w:p w14:paraId="707EDD61" w14:textId="77777777" w:rsidR="004F2D4C" w:rsidRDefault="004F2D4C" w:rsidP="004F2D4C">
      <w:pPr>
        <w:pStyle w:val="Textoindependiente"/>
        <w:rPr>
          <w:rFonts w:cs="Arial"/>
          <w:szCs w:val="24"/>
        </w:rPr>
      </w:pPr>
      <w:r w:rsidRPr="004F2D4C">
        <w:rPr>
          <w:rFonts w:cs="Arial"/>
          <w:szCs w:val="24"/>
        </w:rPr>
        <w:t>En cuanto al marco regulatorio de los proyectos en pruebas, XM señaló que 67 proyectos (830,91 MW) se acogen a la Resolución CREG 148 de 2021; 27 proyectos (83,30 MW) a la Resolución CREG 101 011 de 2022; 7 proyectos (571,70 MW) a la Resolución CREG 060 de 2019; y 10 proyectos (9,83 MW) a la Resolución CREG 174 de 2021.</w:t>
      </w:r>
    </w:p>
    <w:p w14:paraId="5007AE9F" w14:textId="77777777" w:rsidR="004E1642" w:rsidRPr="004F2D4C" w:rsidRDefault="004E1642" w:rsidP="004F2D4C">
      <w:pPr>
        <w:pStyle w:val="Textoindependiente"/>
        <w:rPr>
          <w:rFonts w:cs="Arial"/>
          <w:szCs w:val="24"/>
        </w:rPr>
      </w:pPr>
    </w:p>
    <w:p w14:paraId="4DFFD0F1" w14:textId="77777777" w:rsidR="004F2D4C" w:rsidRDefault="004F2D4C" w:rsidP="004F2D4C">
      <w:pPr>
        <w:pStyle w:val="Textoindependiente"/>
        <w:rPr>
          <w:rFonts w:cs="Arial"/>
          <w:szCs w:val="24"/>
        </w:rPr>
      </w:pPr>
      <w:r w:rsidRPr="004F2D4C">
        <w:rPr>
          <w:rFonts w:cs="Arial"/>
          <w:szCs w:val="24"/>
        </w:rPr>
        <w:t>XM informó además que, bajo la Resolución CREG 148 de 2021, 47 plantas con una capacidad de 581,40 MW fueron devueltas a pruebas, de las cuales una planta (Celsia Solar Puerto Tejada) ha retornado a operación comercial. En el caso de la Resolución CREG 101 011 de 2022, 23 plantas (65,58 MW) fueron devueltas a pruebas, habiéndose reincorporado a operación comercial dos de ellas: Palmira Berry II e Hidrosolar.</w:t>
      </w:r>
    </w:p>
    <w:p w14:paraId="3EA20599" w14:textId="77777777" w:rsidR="004E1642" w:rsidRPr="004F2D4C" w:rsidRDefault="004E1642" w:rsidP="004F2D4C">
      <w:pPr>
        <w:pStyle w:val="Textoindependiente"/>
        <w:rPr>
          <w:rFonts w:cs="Arial"/>
          <w:szCs w:val="24"/>
        </w:rPr>
      </w:pPr>
    </w:p>
    <w:p w14:paraId="69FF8D62" w14:textId="77777777" w:rsidR="004F2D4C" w:rsidRDefault="004F2D4C" w:rsidP="004F2D4C">
      <w:pPr>
        <w:pStyle w:val="Textoindependiente"/>
        <w:rPr>
          <w:rFonts w:cs="Arial"/>
          <w:b/>
          <w:bCs/>
          <w:szCs w:val="24"/>
        </w:rPr>
      </w:pPr>
      <w:r w:rsidRPr="004F2D4C">
        <w:rPr>
          <w:rFonts w:cs="Arial"/>
          <w:b/>
          <w:bCs/>
          <w:szCs w:val="24"/>
        </w:rPr>
        <w:t>2.2. Estado de plantas solares en operación comercial</w:t>
      </w:r>
    </w:p>
    <w:p w14:paraId="4BC9C1B3" w14:textId="77777777" w:rsidR="004E1642" w:rsidRPr="004F2D4C" w:rsidRDefault="004E1642" w:rsidP="004F2D4C">
      <w:pPr>
        <w:pStyle w:val="Textoindependiente"/>
        <w:rPr>
          <w:rFonts w:cs="Arial"/>
          <w:szCs w:val="24"/>
        </w:rPr>
      </w:pPr>
    </w:p>
    <w:p w14:paraId="0BDFCEA8" w14:textId="77777777" w:rsidR="004F2D4C" w:rsidRDefault="004F2D4C" w:rsidP="004F2D4C">
      <w:pPr>
        <w:pStyle w:val="Textoindependiente"/>
        <w:rPr>
          <w:rFonts w:cs="Arial"/>
          <w:szCs w:val="24"/>
        </w:rPr>
      </w:pPr>
      <w:r w:rsidRPr="004F2D4C">
        <w:rPr>
          <w:rFonts w:cs="Arial"/>
          <w:szCs w:val="24"/>
        </w:rPr>
        <w:t xml:space="preserve">La capacidad solar en operación comercial a la fecha de corte asciende a </w:t>
      </w:r>
      <w:r w:rsidRPr="004F2D4C">
        <w:rPr>
          <w:rFonts w:cs="Arial"/>
          <w:b/>
          <w:bCs/>
          <w:szCs w:val="24"/>
        </w:rPr>
        <w:t>1.889,32 MW</w:t>
      </w:r>
      <w:r w:rsidRPr="004F2D4C">
        <w:rPr>
          <w:rFonts w:cs="Arial"/>
          <w:szCs w:val="24"/>
        </w:rPr>
        <w:t>, distribuidos en múltiples departamentos. Los de mayor participación son Atlántico (767,03 MW, con proyectos como Guayepo 370 MW, Guayepo III 180 MW y Caracolí I 50 MW), Cesar (326,14 MW, destacando La Loma 150 MW y La Mata 80 MW), Caldas (185 MW, con Portón del Sol 102 MW y Tepuy 83 MW) y Tolima (171,43 MW, con Shangri La 160 MW). No se registra capacidad eólica en operación comercial a la fecha de corte.</w:t>
      </w:r>
    </w:p>
    <w:p w14:paraId="51B447EC" w14:textId="77777777" w:rsidR="004E1642" w:rsidRPr="004F2D4C" w:rsidRDefault="004E1642" w:rsidP="004F2D4C">
      <w:pPr>
        <w:pStyle w:val="Textoindependiente"/>
        <w:rPr>
          <w:rFonts w:cs="Arial"/>
          <w:szCs w:val="24"/>
        </w:rPr>
      </w:pPr>
    </w:p>
    <w:p w14:paraId="2407C5A5" w14:textId="77777777" w:rsidR="004F2D4C" w:rsidRDefault="004F2D4C" w:rsidP="004F2D4C">
      <w:pPr>
        <w:pStyle w:val="Textoindependiente"/>
        <w:rPr>
          <w:rFonts w:cs="Arial"/>
          <w:b/>
          <w:bCs/>
          <w:szCs w:val="24"/>
        </w:rPr>
      </w:pPr>
      <w:r w:rsidRPr="004F2D4C">
        <w:rPr>
          <w:rFonts w:cs="Arial"/>
          <w:b/>
          <w:bCs/>
          <w:szCs w:val="24"/>
        </w:rPr>
        <w:t>2.3. Expectativas de entrada en operación para 2026</w:t>
      </w:r>
    </w:p>
    <w:p w14:paraId="5B0F9B5A" w14:textId="77777777" w:rsidR="004E1642" w:rsidRPr="004F2D4C" w:rsidRDefault="004E1642" w:rsidP="004F2D4C">
      <w:pPr>
        <w:pStyle w:val="Textoindependiente"/>
        <w:rPr>
          <w:rFonts w:cs="Arial"/>
          <w:szCs w:val="24"/>
        </w:rPr>
      </w:pPr>
    </w:p>
    <w:p w14:paraId="593610C6" w14:textId="77777777" w:rsidR="004F2D4C" w:rsidRDefault="004F2D4C" w:rsidP="004F2D4C">
      <w:pPr>
        <w:pStyle w:val="Textoindependiente"/>
        <w:rPr>
          <w:rFonts w:cs="Arial"/>
          <w:szCs w:val="24"/>
        </w:rPr>
      </w:pPr>
      <w:r w:rsidRPr="004F2D4C">
        <w:rPr>
          <w:rFonts w:cs="Arial"/>
          <w:szCs w:val="24"/>
        </w:rPr>
        <w:t xml:space="preserve">XM presentó las proyecciones de incorporación de nueva capacidad FNCER para la vigencia 2026, estimando un ingreso total de </w:t>
      </w:r>
      <w:r w:rsidRPr="004F2D4C">
        <w:rPr>
          <w:rFonts w:cs="Arial"/>
          <w:b/>
          <w:bCs/>
          <w:szCs w:val="24"/>
        </w:rPr>
        <w:t>4.474,92 MW</w:t>
      </w:r>
      <w:r w:rsidRPr="004F2D4C">
        <w:rPr>
          <w:rFonts w:cs="Arial"/>
          <w:szCs w:val="24"/>
        </w:rPr>
        <w:t>, compuesto por 3.461,82 MW solares y 1.013,10 MW eólicos.</w:t>
      </w:r>
    </w:p>
    <w:p w14:paraId="055D1380" w14:textId="77777777" w:rsidR="004E1642" w:rsidRPr="004F2D4C" w:rsidRDefault="004E1642" w:rsidP="004F2D4C">
      <w:pPr>
        <w:pStyle w:val="Textoindependiente"/>
        <w:rPr>
          <w:rFonts w:cs="Arial"/>
          <w:szCs w:val="24"/>
        </w:rPr>
      </w:pPr>
    </w:p>
    <w:p w14:paraId="0A2E60DD" w14:textId="77777777" w:rsidR="004F2D4C" w:rsidRDefault="004F2D4C" w:rsidP="004F2D4C">
      <w:pPr>
        <w:pStyle w:val="Textoindependiente"/>
        <w:rPr>
          <w:rFonts w:cs="Arial"/>
          <w:szCs w:val="24"/>
        </w:rPr>
      </w:pPr>
      <w:r w:rsidRPr="004F2D4C">
        <w:rPr>
          <w:rFonts w:cs="Arial"/>
          <w:szCs w:val="24"/>
        </w:rPr>
        <w:lastRenderedPageBreak/>
        <w:t>En términos del comportamiento mensual de los ingresos, XM mostró que entre enero y mayo de 2026 se han incorporado 305,26 MW acumulados. Frente a lo esperado para el mes de mayo (9,90 MW sin contar generación distribuida), ingresaron 14,53 MW, correspondientes a la declaración de operación comercial de la planta Hidrosolar (4,9 MW, Casanare, amparada por la Resolución CREG 101 011 de 2022) y a la entrada de 10 generadores distribuidos bajo la Resolución CREG 174 de 2021, aportando 9,63 MW adicionales al sistema.</w:t>
      </w:r>
    </w:p>
    <w:p w14:paraId="48739C94" w14:textId="77777777" w:rsidR="004E1642" w:rsidRPr="004F2D4C" w:rsidRDefault="004E1642" w:rsidP="004F2D4C">
      <w:pPr>
        <w:pStyle w:val="Textoindependiente"/>
        <w:rPr>
          <w:rFonts w:cs="Arial"/>
          <w:szCs w:val="24"/>
        </w:rPr>
      </w:pPr>
    </w:p>
    <w:p w14:paraId="3046A519" w14:textId="77777777" w:rsidR="004F2D4C" w:rsidRDefault="004F2D4C" w:rsidP="004F2D4C">
      <w:pPr>
        <w:pStyle w:val="Textoindependiente"/>
        <w:rPr>
          <w:rFonts w:cs="Arial"/>
          <w:szCs w:val="24"/>
        </w:rPr>
      </w:pPr>
      <w:r w:rsidRPr="004F2D4C">
        <w:rPr>
          <w:rFonts w:cs="Arial"/>
          <w:szCs w:val="24"/>
        </w:rPr>
        <w:t>Los meses de mayor expectativa de ingreso para el segundo semestre son diciembre (1.422 MW), noviembre (596,79 MW), septiembre (506,40 MW) y agosto (461,01 MW), lo que implica que la mayor concentración del esfuerzo de incorporación se prevé hacia el cierre del año.</w:t>
      </w:r>
    </w:p>
    <w:p w14:paraId="1B6ED4B6" w14:textId="77777777" w:rsidR="00D80355" w:rsidRPr="004F2D4C" w:rsidRDefault="00D80355" w:rsidP="004F2D4C">
      <w:pPr>
        <w:pStyle w:val="Textoindependiente"/>
        <w:rPr>
          <w:rFonts w:cs="Arial"/>
          <w:szCs w:val="24"/>
        </w:rPr>
      </w:pPr>
    </w:p>
    <w:p w14:paraId="21388D5F" w14:textId="77777777" w:rsidR="004F2D4C" w:rsidRDefault="004F2D4C" w:rsidP="004F2D4C">
      <w:pPr>
        <w:pStyle w:val="Textoindependiente"/>
        <w:rPr>
          <w:rFonts w:cs="Arial"/>
          <w:b/>
          <w:bCs/>
          <w:szCs w:val="24"/>
        </w:rPr>
      </w:pPr>
      <w:r w:rsidRPr="004F2D4C">
        <w:rPr>
          <w:rFonts w:cs="Arial"/>
          <w:b/>
          <w:bCs/>
          <w:szCs w:val="24"/>
        </w:rPr>
        <w:t>2.4. Capacidad total conectada al SIN</w:t>
      </w:r>
    </w:p>
    <w:p w14:paraId="6FAEC752" w14:textId="77777777" w:rsidR="00D80355" w:rsidRPr="004F2D4C" w:rsidRDefault="00D80355" w:rsidP="004F2D4C">
      <w:pPr>
        <w:pStyle w:val="Textoindependiente"/>
        <w:rPr>
          <w:rFonts w:cs="Arial"/>
          <w:szCs w:val="24"/>
        </w:rPr>
      </w:pPr>
    </w:p>
    <w:p w14:paraId="11942E76" w14:textId="77777777" w:rsidR="004F2D4C" w:rsidRDefault="004F2D4C" w:rsidP="004F2D4C">
      <w:pPr>
        <w:pStyle w:val="Textoindependiente"/>
        <w:rPr>
          <w:rFonts w:cs="Arial"/>
          <w:szCs w:val="24"/>
        </w:rPr>
      </w:pPr>
      <w:r w:rsidRPr="004F2D4C">
        <w:rPr>
          <w:rFonts w:cs="Arial"/>
          <w:szCs w:val="24"/>
        </w:rPr>
        <w:t xml:space="preserve">Considerando todas las fuentes de generación, XM informó que la capacidad total conectada al SIN a la fecha de corte asciende a </w:t>
      </w:r>
      <w:r w:rsidRPr="004F2D4C">
        <w:rPr>
          <w:rFonts w:cs="Arial"/>
          <w:b/>
          <w:bCs/>
          <w:szCs w:val="24"/>
        </w:rPr>
        <w:t>22.919,75 MW</w:t>
      </w:r>
      <w:r w:rsidRPr="004F2D4C">
        <w:rPr>
          <w:rFonts w:cs="Arial"/>
          <w:szCs w:val="24"/>
        </w:rPr>
        <w:t>, distribuidos así: hidráulica 13.233,17 MW (58%), térmica 6.301,52 MW (27%), solar 3.344,06 MW (15%) y eólica 41,00 MW (menos del 1%). Del total, 21.314,71 MW se encuentran en operación y 1.605,04 MW en fase de pruebas.</w:t>
      </w:r>
    </w:p>
    <w:p w14:paraId="058BCA8C" w14:textId="77777777" w:rsidR="00D80355" w:rsidRPr="004F2D4C" w:rsidRDefault="00D80355" w:rsidP="004F2D4C">
      <w:pPr>
        <w:pStyle w:val="Textoindependiente"/>
        <w:rPr>
          <w:rFonts w:cs="Arial"/>
          <w:szCs w:val="24"/>
        </w:rPr>
      </w:pPr>
    </w:p>
    <w:p w14:paraId="7CC71A23" w14:textId="77777777" w:rsidR="004F2D4C" w:rsidRDefault="004F2D4C" w:rsidP="004F2D4C">
      <w:pPr>
        <w:pStyle w:val="Textoindependiente"/>
        <w:rPr>
          <w:rFonts w:cs="Arial"/>
          <w:szCs w:val="24"/>
        </w:rPr>
      </w:pPr>
      <w:r w:rsidRPr="004F2D4C">
        <w:rPr>
          <w:rFonts w:cs="Arial"/>
          <w:szCs w:val="24"/>
        </w:rPr>
        <w:t xml:space="preserve">Sumando capacidad en operación y en pruebas, la generación solar y eólica conectada al SIN alcanza </w:t>
      </w:r>
      <w:r w:rsidRPr="004F2D4C">
        <w:rPr>
          <w:rFonts w:cs="Arial"/>
          <w:b/>
          <w:bCs/>
          <w:szCs w:val="24"/>
        </w:rPr>
        <w:t>3.385,06 MW</w:t>
      </w:r>
      <w:r w:rsidRPr="004F2D4C">
        <w:rPr>
          <w:rFonts w:cs="Arial"/>
          <w:szCs w:val="24"/>
        </w:rPr>
        <w:t xml:space="preserve"> a la fecha de corte.</w:t>
      </w:r>
    </w:p>
    <w:p w14:paraId="637DC720" w14:textId="77777777" w:rsidR="00D80355" w:rsidRPr="004F2D4C" w:rsidRDefault="00D80355" w:rsidP="004F2D4C">
      <w:pPr>
        <w:pStyle w:val="Textoindependiente"/>
        <w:rPr>
          <w:rFonts w:cs="Arial"/>
          <w:szCs w:val="24"/>
        </w:rPr>
      </w:pPr>
    </w:p>
    <w:p w14:paraId="7D42B689" w14:textId="77777777" w:rsidR="004F2D4C" w:rsidRDefault="004F2D4C" w:rsidP="004F2D4C">
      <w:pPr>
        <w:pStyle w:val="Textoindependiente"/>
        <w:rPr>
          <w:rFonts w:cs="Arial"/>
          <w:b/>
          <w:bCs/>
          <w:szCs w:val="24"/>
        </w:rPr>
      </w:pPr>
      <w:r w:rsidRPr="004F2D4C">
        <w:rPr>
          <w:rFonts w:cs="Arial"/>
          <w:b/>
          <w:bCs/>
          <w:szCs w:val="24"/>
        </w:rPr>
        <w:t>2.5. Seguimiento a proyectos pendientes de ingreso en 2026 — SDL, STR y STN</w:t>
      </w:r>
    </w:p>
    <w:p w14:paraId="3BE23B58" w14:textId="77777777" w:rsidR="00D80355" w:rsidRPr="004F2D4C" w:rsidRDefault="00D80355" w:rsidP="004F2D4C">
      <w:pPr>
        <w:pStyle w:val="Textoindependiente"/>
        <w:rPr>
          <w:rFonts w:cs="Arial"/>
          <w:szCs w:val="24"/>
        </w:rPr>
      </w:pPr>
    </w:p>
    <w:p w14:paraId="03618F7F" w14:textId="77777777" w:rsidR="004F2D4C" w:rsidRDefault="004F2D4C" w:rsidP="004F2D4C">
      <w:pPr>
        <w:pStyle w:val="Textoindependiente"/>
        <w:rPr>
          <w:rFonts w:cs="Arial"/>
          <w:szCs w:val="24"/>
        </w:rPr>
      </w:pPr>
      <w:r w:rsidRPr="004F2D4C">
        <w:rPr>
          <w:rFonts w:cs="Arial"/>
          <w:szCs w:val="24"/>
        </w:rPr>
        <w:t>XM expuso el estado de avance de los proyectos con Fecha de Puesta en Operación (FPO) prevista para 2026, clasificados según su nivel de conexión al sistema:</w:t>
      </w:r>
    </w:p>
    <w:p w14:paraId="605FEC48" w14:textId="77777777" w:rsidR="00D80355" w:rsidRPr="004F2D4C" w:rsidRDefault="00D80355" w:rsidP="004F2D4C">
      <w:pPr>
        <w:pStyle w:val="Textoindependiente"/>
        <w:rPr>
          <w:rFonts w:cs="Arial"/>
          <w:szCs w:val="24"/>
        </w:rPr>
      </w:pPr>
    </w:p>
    <w:p w14:paraId="50CABA00" w14:textId="77777777" w:rsidR="004F2D4C" w:rsidRDefault="004F2D4C" w:rsidP="004F2D4C">
      <w:pPr>
        <w:pStyle w:val="Textoindependiente"/>
        <w:rPr>
          <w:rFonts w:cs="Arial"/>
          <w:szCs w:val="24"/>
        </w:rPr>
      </w:pPr>
      <w:r w:rsidRPr="004F2D4C">
        <w:rPr>
          <w:rFonts w:cs="Arial"/>
          <w:i/>
          <w:iCs/>
          <w:szCs w:val="24"/>
        </w:rPr>
        <w:t>Sistema de Distribución Local (SDL):</w:t>
      </w:r>
      <w:r w:rsidRPr="004F2D4C">
        <w:rPr>
          <w:rFonts w:cs="Arial"/>
          <w:szCs w:val="24"/>
        </w:rPr>
        <w:t xml:space="preserve"> De los 39 proyectos identificados con FPO en 2026 (396,03 MW en total), 18 han iniciado trámites de conexión (165,44 MW) y 21 no los han iniciado (230,59 MW). Entre los proyectos con trámites en curso, el de mayor avance es Granja Solar Asturias (9,9 MW, 64% de cumplimiento), seguido de La Paz Solar (57%) y Sol del Mar II (56%). XM precisó que 5 proyectos de los que han iniciado trámites (57,60 MW) y 5 de los que no los han iniciado (49,50 MW) se encuentran supeditados a obras de infraestructura de red.</w:t>
      </w:r>
    </w:p>
    <w:p w14:paraId="0A615372" w14:textId="77777777" w:rsidR="00D80355" w:rsidRPr="004F2D4C" w:rsidRDefault="00D80355" w:rsidP="004F2D4C">
      <w:pPr>
        <w:pStyle w:val="Textoindependiente"/>
        <w:rPr>
          <w:rFonts w:cs="Arial"/>
          <w:szCs w:val="24"/>
        </w:rPr>
      </w:pPr>
    </w:p>
    <w:p w14:paraId="0C4E7B0E" w14:textId="77777777" w:rsidR="004F2D4C" w:rsidRDefault="004F2D4C" w:rsidP="004F2D4C">
      <w:pPr>
        <w:pStyle w:val="Textoindependiente"/>
        <w:rPr>
          <w:rFonts w:cs="Arial"/>
          <w:szCs w:val="24"/>
        </w:rPr>
      </w:pPr>
      <w:r w:rsidRPr="004F2D4C">
        <w:rPr>
          <w:rFonts w:cs="Arial"/>
          <w:i/>
          <w:iCs/>
          <w:szCs w:val="24"/>
        </w:rPr>
        <w:t>Sistema de Transmisión Regional (STR):</w:t>
      </w:r>
      <w:r w:rsidRPr="004F2D4C">
        <w:rPr>
          <w:rFonts w:cs="Arial"/>
          <w:szCs w:val="24"/>
        </w:rPr>
        <w:t xml:space="preserve"> XM reportó que ninguno de los 9 proyectos identificados con FPO en 2026 en este nivel de tensión (267,80 MW en total) ha iniciado trámites de conexión. Tres de estos proyectos (129,90 MW) se encuentran supeditados, entre ellos Heliconea (60 MW) y Proyecto Solar Laureles 50 MW.</w:t>
      </w:r>
    </w:p>
    <w:p w14:paraId="4BFAAB2D" w14:textId="77777777" w:rsidR="00D80355" w:rsidRPr="004F2D4C" w:rsidRDefault="00D80355" w:rsidP="004F2D4C">
      <w:pPr>
        <w:pStyle w:val="Textoindependiente"/>
        <w:rPr>
          <w:rFonts w:cs="Arial"/>
          <w:szCs w:val="24"/>
        </w:rPr>
      </w:pPr>
    </w:p>
    <w:p w14:paraId="39D36E86" w14:textId="77777777" w:rsidR="004F2D4C" w:rsidRDefault="004F2D4C" w:rsidP="004F2D4C">
      <w:pPr>
        <w:pStyle w:val="Textoindependiente"/>
        <w:rPr>
          <w:rFonts w:cs="Arial"/>
          <w:szCs w:val="24"/>
        </w:rPr>
      </w:pPr>
      <w:r w:rsidRPr="004F2D4C">
        <w:rPr>
          <w:rFonts w:cs="Arial"/>
          <w:i/>
          <w:iCs/>
          <w:szCs w:val="24"/>
        </w:rPr>
        <w:t>Sistema de Transmisión Nacional (STN):</w:t>
      </w:r>
      <w:r w:rsidRPr="004F2D4C">
        <w:rPr>
          <w:rFonts w:cs="Arial"/>
          <w:szCs w:val="24"/>
        </w:rPr>
        <w:t xml:space="preserve"> A este nivel, un proyecto ha iniciado trámites: Windpeshi (200 MW, con FPO al 30 de septiembre de 2026 y un avance de cumplimiento del 3%), el cual se encuentra supeditado. Los tres proyectos restantes sin trámites iniciados suman </w:t>
      </w:r>
      <w:r w:rsidRPr="004F2D4C">
        <w:rPr>
          <w:rFonts w:cs="Arial"/>
          <w:szCs w:val="24"/>
        </w:rPr>
        <w:lastRenderedPageBreak/>
        <w:t>591,90 MW, incluyendo los Parques Eólicos Alpha (212 MW) y Beta (280 MW), ambos con FPO en noviembre de 2026, y el Parque Solar Fotovoltaico Amber (99,9 MW).</w:t>
      </w:r>
    </w:p>
    <w:p w14:paraId="76E38D1A" w14:textId="77777777" w:rsidR="00D80355" w:rsidRPr="004F2D4C" w:rsidRDefault="00D80355" w:rsidP="004F2D4C">
      <w:pPr>
        <w:pStyle w:val="Textoindependiente"/>
        <w:rPr>
          <w:rFonts w:cs="Arial"/>
          <w:szCs w:val="24"/>
        </w:rPr>
      </w:pPr>
    </w:p>
    <w:p w14:paraId="7F43EB7C" w14:textId="77777777" w:rsidR="004F2D4C" w:rsidRDefault="004F2D4C" w:rsidP="004F2D4C">
      <w:pPr>
        <w:pStyle w:val="Textoindependiente"/>
        <w:rPr>
          <w:rFonts w:cs="Arial"/>
          <w:szCs w:val="24"/>
        </w:rPr>
      </w:pPr>
      <w:r w:rsidRPr="004F2D4C">
        <w:rPr>
          <w:rFonts w:cs="Arial"/>
          <w:szCs w:val="24"/>
        </w:rPr>
        <w:t xml:space="preserve">En términos consolidados, considerando únicamente los proyectos que han iniciado trámites, el potencial de entrada en 2026 asciende a </w:t>
      </w:r>
      <w:r w:rsidRPr="004F2D4C">
        <w:rPr>
          <w:rFonts w:cs="Arial"/>
          <w:b/>
          <w:bCs/>
          <w:szCs w:val="24"/>
        </w:rPr>
        <w:t>3.750,50 MW</w:t>
      </w:r>
      <w:r w:rsidRPr="004F2D4C">
        <w:rPr>
          <w:rFonts w:cs="Arial"/>
          <w:szCs w:val="24"/>
        </w:rPr>
        <w:t xml:space="preserve"> (incluyendo pruebas y operación). Si se incorporan también los proyectos que aún no han iniciado trámites, el potencial sube a </w:t>
      </w:r>
      <w:r w:rsidRPr="004F2D4C">
        <w:rPr>
          <w:rFonts w:cs="Arial"/>
          <w:b/>
          <w:bCs/>
          <w:szCs w:val="24"/>
        </w:rPr>
        <w:t>4.840,79 MW</w:t>
      </w:r>
      <w:r w:rsidRPr="004F2D4C">
        <w:rPr>
          <w:rFonts w:cs="Arial"/>
          <w:szCs w:val="24"/>
        </w:rPr>
        <w:t>.</w:t>
      </w:r>
    </w:p>
    <w:p w14:paraId="26AEFFAA" w14:textId="77777777" w:rsidR="00D80355" w:rsidRPr="004F2D4C" w:rsidRDefault="00D80355" w:rsidP="004F2D4C">
      <w:pPr>
        <w:pStyle w:val="Textoindependiente"/>
        <w:rPr>
          <w:rFonts w:cs="Arial"/>
          <w:szCs w:val="24"/>
        </w:rPr>
      </w:pPr>
    </w:p>
    <w:p w14:paraId="6BADE7F5" w14:textId="77777777" w:rsidR="004F2D4C" w:rsidRDefault="004F2D4C" w:rsidP="004F2D4C">
      <w:pPr>
        <w:pStyle w:val="Textoindependiente"/>
        <w:rPr>
          <w:rFonts w:cs="Arial"/>
          <w:b/>
          <w:bCs/>
          <w:szCs w:val="24"/>
        </w:rPr>
      </w:pPr>
      <w:r w:rsidRPr="004F2D4C">
        <w:rPr>
          <w:rFonts w:cs="Arial"/>
          <w:b/>
          <w:bCs/>
          <w:szCs w:val="24"/>
        </w:rPr>
        <w:t>2.6. Estado de proyectos de transmisión que supeditan la entrada de generación</w:t>
      </w:r>
    </w:p>
    <w:p w14:paraId="7B82A9A3" w14:textId="77777777" w:rsidR="00D80355" w:rsidRPr="004F2D4C" w:rsidRDefault="00D80355" w:rsidP="004F2D4C">
      <w:pPr>
        <w:pStyle w:val="Textoindependiente"/>
        <w:rPr>
          <w:rFonts w:cs="Arial"/>
          <w:szCs w:val="24"/>
        </w:rPr>
      </w:pPr>
    </w:p>
    <w:p w14:paraId="09A8A236" w14:textId="77777777" w:rsidR="004F2D4C" w:rsidRDefault="004F2D4C" w:rsidP="004F2D4C">
      <w:pPr>
        <w:pStyle w:val="Textoindependiente"/>
        <w:rPr>
          <w:rFonts w:cs="Arial"/>
          <w:szCs w:val="24"/>
        </w:rPr>
      </w:pPr>
      <w:r w:rsidRPr="004F2D4C">
        <w:rPr>
          <w:rFonts w:cs="Arial"/>
          <w:szCs w:val="24"/>
        </w:rPr>
        <w:t xml:space="preserve">XM presentó el listado de proyectos del STN y STR cuya entrada en operación condiciona la conexión de nueva generación FNCER. Al corte del 1 de junio de 2026, la totalidad de los proyectos listados reporta estado de </w:t>
      </w:r>
      <w:r w:rsidRPr="004F2D4C">
        <w:rPr>
          <w:rFonts w:cs="Arial"/>
          <w:b/>
          <w:bCs/>
          <w:szCs w:val="24"/>
        </w:rPr>
        <w:t>OPERACIÓN</w:t>
      </w:r>
      <w:r w:rsidRPr="004F2D4C">
        <w:rPr>
          <w:rFonts w:cs="Arial"/>
          <w:szCs w:val="24"/>
        </w:rPr>
        <w:t>, incluyendo obras de relevancia como la S/E Cuestecitas 500 kV y la LT Copey – Cuestecitas 500 kV (UPME 09-2016), la Línea Bonda – Río Córdoba 230 kV (UPME 10-2019), los sistemas FACTS en los corredores Caribe, el segundo circuito Copey – Cuestecitas 500 kV, la repotenciación de líneas STR-Tolima y de líneas Electrohuila, y el cuarto transformador de Sogamoso 500/230 kV – 450 MVA (UPME 02-2023).</w:t>
      </w:r>
    </w:p>
    <w:p w14:paraId="0BFA534F" w14:textId="77777777" w:rsidR="00D80355" w:rsidRPr="004F2D4C" w:rsidRDefault="00D80355" w:rsidP="004F2D4C">
      <w:pPr>
        <w:pStyle w:val="Textoindependiente"/>
        <w:rPr>
          <w:rFonts w:cs="Arial"/>
          <w:szCs w:val="24"/>
        </w:rPr>
      </w:pPr>
    </w:p>
    <w:p w14:paraId="25639D01" w14:textId="77777777" w:rsidR="004F2D4C" w:rsidRDefault="004F2D4C" w:rsidP="004F2D4C">
      <w:pPr>
        <w:pStyle w:val="Textoindependiente"/>
        <w:rPr>
          <w:rFonts w:cs="Arial"/>
          <w:b/>
          <w:bCs/>
          <w:szCs w:val="24"/>
        </w:rPr>
      </w:pPr>
      <w:r w:rsidRPr="004F2D4C">
        <w:rPr>
          <w:rFonts w:cs="Arial"/>
          <w:b/>
          <w:bCs/>
          <w:szCs w:val="24"/>
        </w:rPr>
        <w:t>2.7. Novedades del período</w:t>
      </w:r>
    </w:p>
    <w:p w14:paraId="73D0A13A" w14:textId="77777777" w:rsidR="0050645F" w:rsidRPr="004F2D4C" w:rsidRDefault="0050645F" w:rsidP="004F2D4C">
      <w:pPr>
        <w:pStyle w:val="Textoindependiente"/>
        <w:rPr>
          <w:rFonts w:cs="Arial"/>
          <w:szCs w:val="24"/>
        </w:rPr>
      </w:pPr>
    </w:p>
    <w:p w14:paraId="798AE95B" w14:textId="77777777" w:rsidR="004F2D4C" w:rsidRPr="004F2D4C" w:rsidRDefault="004F2D4C" w:rsidP="004F2D4C">
      <w:pPr>
        <w:pStyle w:val="Textoindependiente"/>
        <w:rPr>
          <w:rFonts w:cs="Arial"/>
          <w:szCs w:val="24"/>
        </w:rPr>
      </w:pPr>
      <w:r w:rsidRPr="004F2D4C">
        <w:rPr>
          <w:rFonts w:cs="Arial"/>
          <w:szCs w:val="24"/>
        </w:rPr>
        <w:t>XM destacó las siguientes novedades registradas entre el 4 de mayo y el 1 de junio de 2026:</w:t>
      </w:r>
    </w:p>
    <w:p w14:paraId="61273886" w14:textId="77777777" w:rsidR="004F2D4C" w:rsidRPr="004F2D4C" w:rsidRDefault="004F2D4C" w:rsidP="004F2D4C">
      <w:pPr>
        <w:pStyle w:val="Textoindependiente"/>
        <w:numPr>
          <w:ilvl w:val="0"/>
          <w:numId w:val="16"/>
        </w:numPr>
        <w:rPr>
          <w:rFonts w:cs="Arial"/>
          <w:szCs w:val="24"/>
        </w:rPr>
      </w:pPr>
      <w:r w:rsidRPr="004F2D4C">
        <w:rPr>
          <w:rFonts w:cs="Arial"/>
          <w:szCs w:val="24"/>
        </w:rPr>
        <w:t>Declaración en operación comercial de la planta Hidrosolar I (4,9 MW, Casanare) e ingreso de 10 generadores distribuidos (9,63 MW), para un total de 14,53 MW incorporados en el período.</w:t>
      </w:r>
    </w:p>
    <w:p w14:paraId="38B05F3F" w14:textId="77777777" w:rsidR="004F2D4C" w:rsidRPr="004F2D4C" w:rsidRDefault="004F2D4C" w:rsidP="004F2D4C">
      <w:pPr>
        <w:pStyle w:val="Textoindependiente"/>
        <w:numPr>
          <w:ilvl w:val="0"/>
          <w:numId w:val="16"/>
        </w:numPr>
        <w:rPr>
          <w:rFonts w:cs="Arial"/>
          <w:szCs w:val="24"/>
        </w:rPr>
      </w:pPr>
      <w:r w:rsidRPr="004F2D4C">
        <w:rPr>
          <w:rFonts w:cs="Arial"/>
          <w:szCs w:val="24"/>
        </w:rPr>
        <w:t>Inicio de pruebas iniciales del generador distribuido GD Agustín II (0,99 MW) a corte del 1 de junio de 2026.</w:t>
      </w:r>
    </w:p>
    <w:p w14:paraId="6142C34F" w14:textId="77777777" w:rsidR="004F2D4C" w:rsidRPr="004F2D4C" w:rsidRDefault="004F2D4C" w:rsidP="004F2D4C">
      <w:pPr>
        <w:pStyle w:val="Textoindependiente"/>
        <w:numPr>
          <w:ilvl w:val="0"/>
          <w:numId w:val="16"/>
        </w:numPr>
        <w:rPr>
          <w:rFonts w:cs="Arial"/>
          <w:szCs w:val="24"/>
        </w:rPr>
      </w:pPr>
      <w:r w:rsidRPr="004F2D4C">
        <w:rPr>
          <w:rFonts w:cs="Arial"/>
          <w:szCs w:val="24"/>
        </w:rPr>
        <w:t>El proyecto Sol del Mar II (9,9 MW) se encontraba condicionado al circuito Cerromatoso – Ayapel 34,5 kV; sin embargo, XM informó que dicha obra no se ejecutará y que la S/E Ayapel 34,5 kV ya se encuentra lista, por lo que el proyecto contaría con las condiciones técnicas para conectarse al sistema de forma anticipada.</w:t>
      </w:r>
    </w:p>
    <w:p w14:paraId="0491941E" w14:textId="77777777" w:rsidR="0050645F" w:rsidRDefault="0050645F" w:rsidP="004F2D4C">
      <w:pPr>
        <w:pStyle w:val="Textoindependiente"/>
        <w:rPr>
          <w:rFonts w:cs="Arial"/>
          <w:szCs w:val="24"/>
        </w:rPr>
      </w:pPr>
    </w:p>
    <w:p w14:paraId="44B4E71C" w14:textId="1944EF00" w:rsidR="004F2D4C" w:rsidRDefault="004F2D4C" w:rsidP="004F2D4C">
      <w:pPr>
        <w:pStyle w:val="Textoindependiente"/>
        <w:rPr>
          <w:rFonts w:cs="Arial"/>
          <w:b/>
          <w:bCs/>
          <w:szCs w:val="24"/>
        </w:rPr>
      </w:pPr>
      <w:r w:rsidRPr="004F2D4C">
        <w:rPr>
          <w:rFonts w:cs="Arial"/>
          <w:b/>
          <w:bCs/>
          <w:szCs w:val="24"/>
        </w:rPr>
        <w:t>Punto 3. Discusión y preguntas</w:t>
      </w:r>
    </w:p>
    <w:p w14:paraId="7574AE0D" w14:textId="2FB27E8A" w:rsidR="00766D2A" w:rsidRDefault="00766D2A" w:rsidP="004C0C4B">
      <w:pPr>
        <w:pStyle w:val="Textoindependiente"/>
        <w:rPr>
          <w:rFonts w:cs="Arial"/>
          <w:szCs w:val="24"/>
        </w:rPr>
      </w:pPr>
    </w:p>
    <w:p w14:paraId="18E33390" w14:textId="67BEFDD1" w:rsidR="0050645F" w:rsidRPr="004D32E5" w:rsidRDefault="0050645F" w:rsidP="004C0C4B">
      <w:pPr>
        <w:pStyle w:val="Textoindependiente"/>
        <w:rPr>
          <w:rFonts w:cs="Arial"/>
          <w:szCs w:val="24"/>
          <w:lang w:val="es-MX"/>
        </w:rPr>
      </w:pPr>
      <w:r>
        <w:rPr>
          <w:rFonts w:cs="Arial"/>
          <w:szCs w:val="24"/>
        </w:rPr>
        <w:t>No se tienen preguntas.</w:t>
      </w:r>
    </w:p>
    <w:p w14:paraId="5B77B157" w14:textId="77777777" w:rsidR="004C0C4B" w:rsidRPr="00DF668B" w:rsidRDefault="004C0C4B" w:rsidP="004C0C4B">
      <w:pPr>
        <w:pStyle w:val="Textoindependiente"/>
        <w:rPr>
          <w:rFonts w:cs="Arial"/>
          <w:szCs w:val="24"/>
          <w:lang w:val="es-CO"/>
        </w:rPr>
      </w:pPr>
    </w:p>
    <w:tbl>
      <w:tblPr>
        <w:tblStyle w:val="Tablaconcuadrcula"/>
        <w:tblW w:w="5000" w:type="pct"/>
        <w:tblLook w:val="04A0" w:firstRow="1" w:lastRow="0" w:firstColumn="1" w:lastColumn="0" w:noHBand="0" w:noVBand="1"/>
      </w:tblPr>
      <w:tblGrid>
        <w:gridCol w:w="3320"/>
        <w:gridCol w:w="3320"/>
        <w:gridCol w:w="3322"/>
      </w:tblGrid>
      <w:tr w:rsidR="00766D2A" w:rsidRPr="00DF668B" w14:paraId="6EC2F00B" w14:textId="77777777" w:rsidTr="00121EAC">
        <w:tc>
          <w:tcPr>
            <w:tcW w:w="1666" w:type="pct"/>
          </w:tcPr>
          <w:p w14:paraId="3EF668D3"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COMPROMISO</w:t>
            </w:r>
          </w:p>
        </w:tc>
        <w:tc>
          <w:tcPr>
            <w:tcW w:w="1666" w:type="pct"/>
          </w:tcPr>
          <w:p w14:paraId="0E202E83"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RESPONSABLE</w:t>
            </w:r>
          </w:p>
        </w:tc>
        <w:tc>
          <w:tcPr>
            <w:tcW w:w="1667" w:type="pct"/>
          </w:tcPr>
          <w:p w14:paraId="03A5127D"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FECHA DE ENTREGA</w:t>
            </w:r>
          </w:p>
        </w:tc>
      </w:tr>
      <w:tr w:rsidR="00766D2A" w:rsidRPr="00DF668B" w14:paraId="47618F7B" w14:textId="77777777" w:rsidTr="00121EAC">
        <w:trPr>
          <w:trHeight w:val="631"/>
        </w:trPr>
        <w:tc>
          <w:tcPr>
            <w:tcW w:w="1666" w:type="pct"/>
          </w:tcPr>
          <w:p w14:paraId="477FBD66" w14:textId="5A523809" w:rsidR="00126053" w:rsidRPr="00DF668B" w:rsidRDefault="00126053" w:rsidP="00C7272D">
            <w:pPr>
              <w:pStyle w:val="Textoindependiente"/>
              <w:tabs>
                <w:tab w:val="left" w:pos="2113"/>
              </w:tabs>
              <w:rPr>
                <w:rFonts w:cs="Arial"/>
                <w:szCs w:val="24"/>
                <w:lang w:val="es-CO"/>
              </w:rPr>
            </w:pPr>
          </w:p>
        </w:tc>
        <w:tc>
          <w:tcPr>
            <w:tcW w:w="1666" w:type="pct"/>
          </w:tcPr>
          <w:p w14:paraId="0A91BF02" w14:textId="422D2E33" w:rsidR="00766D2A" w:rsidRPr="00DF668B" w:rsidRDefault="00766D2A" w:rsidP="00502C13">
            <w:pPr>
              <w:pStyle w:val="Textoindependiente"/>
              <w:rPr>
                <w:rFonts w:cs="Arial"/>
                <w:szCs w:val="24"/>
                <w:lang w:val="es-CO"/>
              </w:rPr>
            </w:pPr>
          </w:p>
        </w:tc>
        <w:tc>
          <w:tcPr>
            <w:tcW w:w="1667" w:type="pct"/>
          </w:tcPr>
          <w:p w14:paraId="1459781C" w14:textId="5C36ECF4" w:rsidR="00766D2A" w:rsidRPr="00DF668B" w:rsidRDefault="00766D2A" w:rsidP="00502C13">
            <w:pPr>
              <w:pStyle w:val="Textoindependiente"/>
              <w:rPr>
                <w:rFonts w:cs="Arial"/>
                <w:szCs w:val="24"/>
                <w:lang w:val="es-CO"/>
              </w:rPr>
            </w:pPr>
          </w:p>
        </w:tc>
      </w:tr>
    </w:tbl>
    <w:p w14:paraId="0890BA95" w14:textId="77777777" w:rsidR="004C0C4B" w:rsidRDefault="004C0C4B" w:rsidP="004C0C4B">
      <w:pPr>
        <w:pStyle w:val="Textoindependiente"/>
        <w:rPr>
          <w:rFonts w:cs="Arial"/>
          <w:szCs w:val="24"/>
          <w:lang w:val="es-CO"/>
        </w:rPr>
      </w:pPr>
    </w:p>
    <w:p w14:paraId="40E250FF" w14:textId="7ADD7B5E" w:rsidR="00121EAC" w:rsidRDefault="0050645F" w:rsidP="004C0C4B">
      <w:pPr>
        <w:pStyle w:val="Textoindependiente"/>
        <w:rPr>
          <w:rFonts w:cs="Arial"/>
          <w:szCs w:val="24"/>
          <w:lang w:val="es-CO"/>
        </w:rPr>
      </w:pPr>
      <w:r w:rsidRPr="0050645F">
        <w:rPr>
          <w:rFonts w:cs="Arial"/>
          <w:szCs w:val="24"/>
          <w:lang w:val="es-CO"/>
        </w:rPr>
        <w:t>Sin más temas por tratar, se levantó la sesión.</w:t>
      </w:r>
    </w:p>
    <w:p w14:paraId="47739E00" w14:textId="77777777" w:rsidR="00121EAC" w:rsidRDefault="00121EAC" w:rsidP="004C0C4B">
      <w:pPr>
        <w:pStyle w:val="Textoindependiente"/>
        <w:rPr>
          <w:rFonts w:cs="Arial"/>
          <w:szCs w:val="24"/>
          <w:lang w:val="es-CO"/>
        </w:rPr>
      </w:pPr>
    </w:p>
    <w:p w14:paraId="304F77B3" w14:textId="77777777" w:rsidR="00121EAC" w:rsidRPr="00DF668B" w:rsidRDefault="00121EAC" w:rsidP="004C0C4B">
      <w:pPr>
        <w:pStyle w:val="Textoindependiente"/>
        <w:rPr>
          <w:rFonts w:cs="Arial"/>
          <w:szCs w:val="24"/>
          <w:lang w:val="es-CO"/>
        </w:rPr>
      </w:pPr>
    </w:p>
    <w:p w14:paraId="33529556" w14:textId="77777777" w:rsidR="004C0C4B" w:rsidRPr="00DF668B" w:rsidRDefault="004C0C4B" w:rsidP="004C0C4B">
      <w:pPr>
        <w:pStyle w:val="Textoindependiente"/>
        <w:rPr>
          <w:rFonts w:cs="Arial"/>
          <w:szCs w:val="24"/>
          <w:lang w:val="es-CO"/>
        </w:rPr>
      </w:pPr>
    </w:p>
    <w:p w14:paraId="018E7814" w14:textId="4D1C615E" w:rsidR="004C0C4B" w:rsidRPr="00DF668B" w:rsidRDefault="00A02DC7" w:rsidP="004C0C4B">
      <w:pPr>
        <w:pStyle w:val="Textoindependiente"/>
        <w:rPr>
          <w:rFonts w:cs="Arial"/>
          <w:szCs w:val="24"/>
          <w:lang w:val="es-CO"/>
        </w:rPr>
      </w:pPr>
      <w:r w:rsidRPr="00DF668B">
        <w:rPr>
          <w:rFonts w:cs="Arial"/>
          <w:szCs w:val="24"/>
          <w:lang w:val="es-CO"/>
        </w:rPr>
        <w:t>Firmas</w:t>
      </w:r>
      <w:r w:rsidR="00282FED" w:rsidRPr="00DF668B">
        <w:rPr>
          <w:rFonts w:cs="Arial"/>
          <w:szCs w:val="24"/>
          <w:lang w:val="es-CO"/>
        </w:rPr>
        <w:t xml:space="preserve"> </w:t>
      </w:r>
      <w:r w:rsidR="00282FED" w:rsidRPr="00DF668B">
        <w:rPr>
          <w:rFonts w:cs="Arial"/>
          <w:color w:val="BFBFBF" w:themeColor="background1" w:themeShade="BF"/>
          <w:sz w:val="20"/>
          <w:lang w:val="es-CO"/>
        </w:rPr>
        <w:t>(</w:t>
      </w:r>
      <w:r w:rsidR="0020714B" w:rsidRPr="00DF668B">
        <w:rPr>
          <w:rFonts w:cs="Arial"/>
          <w:color w:val="BFBFBF" w:themeColor="background1" w:themeShade="BF"/>
          <w:sz w:val="20"/>
          <w:lang w:val="es-CO"/>
        </w:rPr>
        <w:t>líder(es) del espacio realizado y de los participantes si así lo considera necesario</w:t>
      </w:r>
      <w:r w:rsidR="00282FED" w:rsidRPr="00DF668B">
        <w:rPr>
          <w:rFonts w:cs="Arial"/>
          <w:color w:val="BFBFBF" w:themeColor="background1" w:themeShade="BF"/>
          <w:sz w:val="20"/>
          <w:lang w:val="es-CO"/>
        </w:rPr>
        <w:t>)</w:t>
      </w:r>
      <w:r w:rsidRPr="00DF668B">
        <w:rPr>
          <w:rFonts w:cs="Arial"/>
          <w:color w:val="BFBFBF" w:themeColor="background1" w:themeShade="BF"/>
          <w:sz w:val="20"/>
          <w:lang w:val="es-CO"/>
        </w:rPr>
        <w:t>:</w:t>
      </w:r>
    </w:p>
    <w:p w14:paraId="54D0202C" w14:textId="6163C7FB" w:rsidR="0020714B" w:rsidRPr="00DF668B" w:rsidRDefault="0020714B" w:rsidP="004C0C4B">
      <w:pPr>
        <w:pStyle w:val="Textoindependiente"/>
        <w:rPr>
          <w:rFonts w:cs="Arial"/>
          <w:szCs w:val="24"/>
          <w:lang w:val="es-CO"/>
        </w:rPr>
      </w:pPr>
    </w:p>
    <w:tbl>
      <w:tblPr>
        <w:tblStyle w:val="Tablaconcuadrcula"/>
        <w:tblW w:w="5000" w:type="pct"/>
        <w:tblLook w:val="04A0" w:firstRow="1" w:lastRow="0" w:firstColumn="1" w:lastColumn="0" w:noHBand="0" w:noVBand="1"/>
      </w:tblPr>
      <w:tblGrid>
        <w:gridCol w:w="3320"/>
        <w:gridCol w:w="3320"/>
        <w:gridCol w:w="3322"/>
      </w:tblGrid>
      <w:tr w:rsidR="0020714B" w:rsidRPr="00DF668B" w14:paraId="06EAC7A0" w14:textId="77777777" w:rsidTr="00121EAC">
        <w:tc>
          <w:tcPr>
            <w:tcW w:w="1666" w:type="pct"/>
          </w:tcPr>
          <w:p w14:paraId="1B9D306F" w14:textId="7F5024C0" w:rsidR="0020714B" w:rsidRPr="00DF668B" w:rsidRDefault="0020714B" w:rsidP="0020714B">
            <w:pPr>
              <w:pStyle w:val="Textoindependiente"/>
              <w:jc w:val="center"/>
              <w:rPr>
                <w:rFonts w:cs="Arial"/>
                <w:szCs w:val="24"/>
                <w:lang w:val="es-CO"/>
              </w:rPr>
            </w:pPr>
            <w:r w:rsidRPr="00DF668B">
              <w:rPr>
                <w:rFonts w:cs="Arial"/>
                <w:b/>
                <w:bCs/>
                <w:sz w:val="22"/>
                <w:szCs w:val="22"/>
                <w:lang w:val="es-CO"/>
              </w:rPr>
              <w:t>NOMBRE</w:t>
            </w:r>
          </w:p>
        </w:tc>
        <w:tc>
          <w:tcPr>
            <w:tcW w:w="1666" w:type="pct"/>
          </w:tcPr>
          <w:p w14:paraId="7857DA8D" w14:textId="295954B4" w:rsidR="0020714B" w:rsidRPr="00DF668B" w:rsidRDefault="0020714B" w:rsidP="0020714B">
            <w:pPr>
              <w:pStyle w:val="Textoindependiente"/>
              <w:jc w:val="center"/>
              <w:rPr>
                <w:rFonts w:cs="Arial"/>
                <w:szCs w:val="24"/>
                <w:lang w:val="es-CO"/>
              </w:rPr>
            </w:pPr>
            <w:r w:rsidRPr="00DF668B">
              <w:rPr>
                <w:rFonts w:cs="Arial"/>
                <w:b/>
                <w:bCs/>
                <w:sz w:val="22"/>
                <w:szCs w:val="22"/>
                <w:lang w:val="es-CO"/>
              </w:rPr>
              <w:t>CARGO</w:t>
            </w:r>
          </w:p>
        </w:tc>
        <w:tc>
          <w:tcPr>
            <w:tcW w:w="1667" w:type="pct"/>
          </w:tcPr>
          <w:p w14:paraId="5D685752" w14:textId="6E1FBF27" w:rsidR="0020714B" w:rsidRPr="00DF668B" w:rsidRDefault="0020714B" w:rsidP="0020714B">
            <w:pPr>
              <w:pStyle w:val="Textoindependiente"/>
              <w:jc w:val="center"/>
              <w:rPr>
                <w:rFonts w:cs="Arial"/>
                <w:szCs w:val="24"/>
                <w:lang w:val="es-CO"/>
              </w:rPr>
            </w:pPr>
            <w:r w:rsidRPr="00DF668B">
              <w:rPr>
                <w:rFonts w:cs="Arial"/>
                <w:b/>
                <w:bCs/>
                <w:sz w:val="22"/>
                <w:szCs w:val="22"/>
                <w:lang w:val="es-CO"/>
              </w:rPr>
              <w:t>FIRMA</w:t>
            </w:r>
          </w:p>
        </w:tc>
      </w:tr>
      <w:tr w:rsidR="00C7272D" w:rsidRPr="00DF668B" w14:paraId="5CE39D48" w14:textId="77777777" w:rsidTr="00121EAC">
        <w:trPr>
          <w:trHeight w:val="564"/>
        </w:trPr>
        <w:tc>
          <w:tcPr>
            <w:tcW w:w="1666" w:type="pct"/>
          </w:tcPr>
          <w:p w14:paraId="75E4C68F" w14:textId="2A348CE2" w:rsidR="00C7272D" w:rsidRPr="00C91D3C" w:rsidRDefault="007B53BF" w:rsidP="0020714B">
            <w:pPr>
              <w:pStyle w:val="Textoindependiente"/>
              <w:rPr>
                <w:rFonts w:eastAsia="Arial" w:cs="Arial"/>
                <w:szCs w:val="24"/>
                <w:lang w:val="es-CO"/>
              </w:rPr>
            </w:pPr>
            <w:r w:rsidRPr="007B53BF">
              <w:rPr>
                <w:rFonts w:eastAsia="Arial" w:cs="Arial"/>
                <w:szCs w:val="24"/>
                <w:lang w:val="es-CO"/>
              </w:rPr>
              <w:t>Farid Alejandro Tovar</w:t>
            </w:r>
          </w:p>
        </w:tc>
        <w:tc>
          <w:tcPr>
            <w:tcW w:w="1666" w:type="pct"/>
          </w:tcPr>
          <w:p w14:paraId="64A25E2C" w14:textId="5D50C818" w:rsidR="00C7272D" w:rsidRDefault="007B53BF" w:rsidP="0020714B">
            <w:pPr>
              <w:pStyle w:val="Textoindependiente"/>
              <w:rPr>
                <w:rFonts w:cs="Arial"/>
                <w:szCs w:val="24"/>
                <w:lang w:val="es-CO"/>
              </w:rPr>
            </w:pPr>
            <w:r>
              <w:rPr>
                <w:rFonts w:cs="Arial"/>
                <w:szCs w:val="24"/>
                <w:lang w:val="es-CO"/>
              </w:rPr>
              <w:t>Contratista</w:t>
            </w:r>
          </w:p>
        </w:tc>
        <w:tc>
          <w:tcPr>
            <w:tcW w:w="1667" w:type="pct"/>
          </w:tcPr>
          <w:p w14:paraId="4403B27F" w14:textId="0B6127D3" w:rsidR="00C7272D" w:rsidRPr="00DF668B" w:rsidRDefault="1C6C0F31" w:rsidP="0020714B">
            <w:pPr>
              <w:pStyle w:val="Textoindependiente"/>
            </w:pPr>
            <w:r>
              <w:rPr>
                <w:noProof/>
              </w:rPr>
              <w:drawing>
                <wp:inline distT="0" distB="0" distL="0" distR="0" wp14:anchorId="52D9E249" wp14:editId="72CC16E9">
                  <wp:extent cx="1838325" cy="457200"/>
                  <wp:effectExtent l="0" t="0" r="0" b="0"/>
                  <wp:docPr id="182465687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656871" name="Picture 1824656871"/>
                          <pic:cNvPicPr/>
                        </pic:nvPicPr>
                        <pic:blipFill>
                          <a:blip r:embed="rId10">
                            <a:extLst>
                              <a:ext uri="{28A0092B-C50C-407E-A947-70E740481C1C}">
                                <a14:useLocalDpi xmlns:a14="http://schemas.microsoft.com/office/drawing/2010/main"/>
                              </a:ext>
                            </a:extLst>
                          </a:blip>
                          <a:stretch>
                            <a:fillRect/>
                          </a:stretch>
                        </pic:blipFill>
                        <pic:spPr>
                          <a:xfrm>
                            <a:off x="0" y="0"/>
                            <a:ext cx="1838325" cy="457200"/>
                          </a:xfrm>
                          <a:prstGeom prst="rect">
                            <a:avLst/>
                          </a:prstGeom>
                        </pic:spPr>
                      </pic:pic>
                    </a:graphicData>
                  </a:graphic>
                </wp:inline>
              </w:drawing>
            </w:r>
          </w:p>
        </w:tc>
      </w:tr>
    </w:tbl>
    <w:p w14:paraId="7738ED36" w14:textId="30B86124" w:rsidR="0020714B" w:rsidRPr="00DF668B" w:rsidRDefault="0020714B" w:rsidP="004C0C4B">
      <w:pPr>
        <w:pStyle w:val="Textoindependiente"/>
        <w:rPr>
          <w:rFonts w:cs="Arial"/>
          <w:szCs w:val="24"/>
          <w:lang w:val="es-CO"/>
        </w:rPr>
      </w:pPr>
    </w:p>
    <w:p w14:paraId="4E641D6D" w14:textId="646DB615" w:rsidR="00A02DC7" w:rsidRPr="00DF668B" w:rsidRDefault="00A02DC7" w:rsidP="004C0C4B">
      <w:pPr>
        <w:pStyle w:val="Textoindependiente"/>
        <w:rPr>
          <w:rFonts w:cs="Arial"/>
          <w:szCs w:val="24"/>
          <w:lang w:val="es-CO"/>
        </w:rPr>
      </w:pPr>
    </w:p>
    <w:p w14:paraId="65087796" w14:textId="2A5D3BB3" w:rsidR="00A02DC7" w:rsidRPr="00DF668B" w:rsidRDefault="00A02DC7" w:rsidP="004C0C4B">
      <w:pPr>
        <w:pStyle w:val="Textoindependiente"/>
        <w:rPr>
          <w:rFonts w:cs="Arial"/>
          <w:szCs w:val="24"/>
          <w:lang w:val="es-CO"/>
        </w:rPr>
      </w:pPr>
    </w:p>
    <w:p w14:paraId="51A13636" w14:textId="77777777" w:rsidR="004C0C4B" w:rsidRPr="00DF668B" w:rsidRDefault="004C0C4B" w:rsidP="004C0C4B">
      <w:pPr>
        <w:pStyle w:val="Textoindependiente"/>
        <w:rPr>
          <w:rFonts w:cs="Arial"/>
          <w:szCs w:val="24"/>
          <w:lang w:val="es-CO"/>
        </w:rPr>
      </w:pPr>
    </w:p>
    <w:p w14:paraId="30A99022" w14:textId="4A2BE3BA" w:rsidR="004C0C4B" w:rsidRPr="004D333B" w:rsidRDefault="004C0C4B" w:rsidP="004C0C4B">
      <w:pPr>
        <w:pStyle w:val="Textoindependiente"/>
        <w:rPr>
          <w:rFonts w:cs="Arial"/>
          <w:sz w:val="16"/>
          <w:szCs w:val="16"/>
          <w:lang w:val="pt-BR"/>
        </w:rPr>
      </w:pPr>
      <w:r w:rsidRPr="004D333B">
        <w:rPr>
          <w:rFonts w:cs="Arial"/>
          <w:sz w:val="16"/>
          <w:szCs w:val="16"/>
          <w:lang w:val="pt-BR"/>
        </w:rPr>
        <w:t xml:space="preserve">Anexos: </w:t>
      </w:r>
      <w:r w:rsidR="00126053" w:rsidRPr="004D333B">
        <w:rPr>
          <w:rFonts w:cs="Arial"/>
          <w:sz w:val="16"/>
          <w:szCs w:val="16"/>
          <w:lang w:val="pt-BR"/>
        </w:rPr>
        <w:t>n/a</w:t>
      </w:r>
    </w:p>
    <w:p w14:paraId="740B3779" w14:textId="77777777" w:rsidR="004C0C4B" w:rsidRPr="004D333B" w:rsidRDefault="004C0C4B" w:rsidP="004C0C4B">
      <w:pPr>
        <w:pStyle w:val="Textoindependiente"/>
        <w:rPr>
          <w:rFonts w:cs="Arial"/>
          <w:sz w:val="16"/>
          <w:szCs w:val="16"/>
          <w:lang w:val="pt-BR"/>
        </w:rPr>
      </w:pPr>
    </w:p>
    <w:p w14:paraId="6D5C15F7" w14:textId="3C1E065F" w:rsidR="004C0C4B" w:rsidRPr="00427BF7" w:rsidRDefault="007B3153" w:rsidP="004C0C4B">
      <w:pPr>
        <w:pStyle w:val="Textoindependiente"/>
        <w:rPr>
          <w:rFonts w:cs="Arial"/>
          <w:sz w:val="16"/>
          <w:szCs w:val="16"/>
          <w:lang w:val="pt-BR"/>
        </w:rPr>
      </w:pPr>
      <w:r w:rsidRPr="00427BF7">
        <w:rPr>
          <w:rFonts w:cs="Arial"/>
          <w:sz w:val="16"/>
          <w:szCs w:val="16"/>
          <w:lang w:val="pt-BR"/>
        </w:rPr>
        <w:t>Elaboró</w:t>
      </w:r>
      <w:r w:rsidR="00282FED" w:rsidRPr="00427BF7">
        <w:rPr>
          <w:rFonts w:cs="Arial"/>
          <w:sz w:val="16"/>
          <w:szCs w:val="16"/>
          <w:lang w:val="pt-BR"/>
        </w:rPr>
        <w:t xml:space="preserve"> acta</w:t>
      </w:r>
      <w:r w:rsidR="004C0C4B" w:rsidRPr="00427BF7">
        <w:rPr>
          <w:rFonts w:cs="Arial"/>
          <w:sz w:val="16"/>
          <w:szCs w:val="16"/>
          <w:lang w:val="pt-BR"/>
        </w:rPr>
        <w:t xml:space="preserve">: </w:t>
      </w:r>
      <w:r w:rsidR="004D333B">
        <w:rPr>
          <w:rFonts w:cs="Arial"/>
          <w:sz w:val="16"/>
          <w:szCs w:val="16"/>
          <w:lang w:val="pt-BR"/>
        </w:rPr>
        <w:t>Farid Tovar</w:t>
      </w:r>
    </w:p>
    <w:p w14:paraId="00C38C10" w14:textId="77777777" w:rsidR="004C0C4B" w:rsidRPr="00427BF7" w:rsidRDefault="004C0C4B" w:rsidP="004C0C4B">
      <w:pPr>
        <w:pStyle w:val="Textoindependiente"/>
        <w:rPr>
          <w:rFonts w:cs="Arial"/>
          <w:szCs w:val="24"/>
          <w:lang w:val="pt-BR"/>
        </w:rPr>
      </w:pPr>
    </w:p>
    <w:p w14:paraId="636CF423" w14:textId="77777777" w:rsidR="00832D75" w:rsidRPr="00427BF7" w:rsidRDefault="00832D75" w:rsidP="00832D75">
      <w:pPr>
        <w:pStyle w:val="Textoindependiente"/>
        <w:ind w:right="618"/>
        <w:jc w:val="right"/>
        <w:rPr>
          <w:lang w:val="pt-BR"/>
        </w:rPr>
      </w:pPr>
    </w:p>
    <w:p w14:paraId="51AF84F0" w14:textId="648179E3" w:rsidR="00AC2BFA" w:rsidRPr="00427BF7" w:rsidRDefault="00AC2BFA" w:rsidP="00832D75">
      <w:pPr>
        <w:rPr>
          <w:lang w:val="pt-BR"/>
        </w:rPr>
      </w:pPr>
    </w:p>
    <w:sectPr w:rsidR="00AC2BFA" w:rsidRPr="00427BF7" w:rsidSect="00145505">
      <w:headerReference w:type="default" r:id="rId11"/>
      <w:footerReference w:type="default" r:id="rId12"/>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4E540" w14:textId="77777777" w:rsidR="007B4010" w:rsidRDefault="007B4010" w:rsidP="00CD6908">
      <w:pPr>
        <w:spacing w:after="0" w:line="240" w:lineRule="auto"/>
      </w:pPr>
      <w:r>
        <w:separator/>
      </w:r>
    </w:p>
  </w:endnote>
  <w:endnote w:type="continuationSeparator" w:id="0">
    <w:p w14:paraId="6A9CAB04" w14:textId="77777777" w:rsidR="007B4010" w:rsidRDefault="007B4010"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4A3B3" w14:textId="77777777" w:rsidR="007B4010" w:rsidRDefault="007B4010" w:rsidP="00CD6908">
      <w:pPr>
        <w:spacing w:after="0" w:line="240" w:lineRule="auto"/>
      </w:pPr>
      <w:r>
        <w:separator/>
      </w:r>
    </w:p>
  </w:footnote>
  <w:footnote w:type="continuationSeparator" w:id="0">
    <w:p w14:paraId="3A9326DB" w14:textId="77777777" w:rsidR="007B4010" w:rsidRDefault="007B4010"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vAlign w:val="center"/>
        </w:tcPr>
        <w:p w14:paraId="2CB7A845" w14:textId="46868E34" w:rsidR="00145505" w:rsidRPr="009B4676" w:rsidRDefault="00145505" w:rsidP="00ED69DA">
          <w:pPr>
            <w:jc w:val="center"/>
            <w:rPr>
              <w:rFonts w:ascii="Arial" w:hAnsi="Arial" w:cs="Arial"/>
              <w:b/>
              <w:sz w:val="24"/>
            </w:rPr>
          </w:pPr>
          <w:bookmarkStart w:id="0" w:name="_Hlk126915421"/>
          <w:r>
            <w:rPr>
              <w:rFonts w:ascii="Arial" w:hAnsi="Arial" w:cs="Arial"/>
              <w:b/>
              <w:sz w:val="24"/>
            </w:rPr>
            <w:t>FORMATO ACTA DE REUNIÓN</w:t>
          </w:r>
        </w:p>
      </w:tc>
      <w:tc>
        <w:tcPr>
          <w:tcW w:w="1142" w:type="pct"/>
          <w:gridSpan w:val="2"/>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12B0279E"/>
    <w:multiLevelType w:val="hybridMultilevel"/>
    <w:tmpl w:val="6F488FC8"/>
    <w:lvl w:ilvl="0" w:tplc="0646FEFA">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133218E9"/>
    <w:multiLevelType w:val="hybridMultilevel"/>
    <w:tmpl w:val="8E8CFBDA"/>
    <w:lvl w:ilvl="0" w:tplc="691823EC">
      <w:start w:val="1"/>
      <w:numFmt w:val="bullet"/>
      <w:lvlText w:val="•"/>
      <w:lvlJc w:val="left"/>
      <w:pPr>
        <w:ind w:left="720" w:hanging="360"/>
      </w:pPr>
    </w:lvl>
    <w:lvl w:ilvl="1" w:tplc="70B2F71A">
      <w:numFmt w:val="decimal"/>
      <w:lvlText w:val=""/>
      <w:lvlJc w:val="left"/>
      <w:pPr>
        <w:ind w:left="0" w:firstLine="0"/>
      </w:pPr>
    </w:lvl>
    <w:lvl w:ilvl="2" w:tplc="3AD8D856">
      <w:numFmt w:val="decimal"/>
      <w:lvlText w:val=""/>
      <w:lvlJc w:val="left"/>
      <w:pPr>
        <w:ind w:left="0" w:firstLine="0"/>
      </w:pPr>
    </w:lvl>
    <w:lvl w:ilvl="3" w:tplc="E1284FC8">
      <w:numFmt w:val="decimal"/>
      <w:lvlText w:val=""/>
      <w:lvlJc w:val="left"/>
      <w:pPr>
        <w:ind w:left="0" w:firstLine="0"/>
      </w:pPr>
    </w:lvl>
    <w:lvl w:ilvl="4" w:tplc="FCC83090">
      <w:numFmt w:val="decimal"/>
      <w:lvlText w:val=""/>
      <w:lvlJc w:val="left"/>
      <w:pPr>
        <w:ind w:left="0" w:firstLine="0"/>
      </w:pPr>
    </w:lvl>
    <w:lvl w:ilvl="5" w:tplc="7390C4C4">
      <w:numFmt w:val="decimal"/>
      <w:lvlText w:val=""/>
      <w:lvlJc w:val="left"/>
      <w:pPr>
        <w:ind w:left="0" w:firstLine="0"/>
      </w:pPr>
    </w:lvl>
    <w:lvl w:ilvl="6" w:tplc="2D2E9C00">
      <w:numFmt w:val="decimal"/>
      <w:lvlText w:val=""/>
      <w:lvlJc w:val="left"/>
      <w:pPr>
        <w:ind w:left="0" w:firstLine="0"/>
      </w:pPr>
    </w:lvl>
    <w:lvl w:ilvl="7" w:tplc="2222D0EA">
      <w:numFmt w:val="decimal"/>
      <w:lvlText w:val=""/>
      <w:lvlJc w:val="left"/>
      <w:pPr>
        <w:ind w:left="0" w:firstLine="0"/>
      </w:pPr>
    </w:lvl>
    <w:lvl w:ilvl="8" w:tplc="45F662F2">
      <w:numFmt w:val="decimal"/>
      <w:lvlText w:val=""/>
      <w:lvlJc w:val="left"/>
      <w:pPr>
        <w:ind w:left="0" w:firstLine="0"/>
      </w:pPr>
    </w:lvl>
  </w:abstractNum>
  <w:abstractNum w:abstractNumId="3"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50F1297"/>
    <w:multiLevelType w:val="hybridMultilevel"/>
    <w:tmpl w:val="D00E4296"/>
    <w:lvl w:ilvl="0" w:tplc="563826D2">
      <w:start w:val="2"/>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21BB4160"/>
    <w:multiLevelType w:val="multilevel"/>
    <w:tmpl w:val="7FE60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1F115C0"/>
    <w:multiLevelType w:val="hybridMultilevel"/>
    <w:tmpl w:val="1A7A1D3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7A45C4B"/>
    <w:multiLevelType w:val="hybridMultilevel"/>
    <w:tmpl w:val="0B422514"/>
    <w:lvl w:ilvl="0" w:tplc="1B0CFC6A">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 w15:restartNumberingAfterBreak="0">
    <w:nsid w:val="56C75F54"/>
    <w:multiLevelType w:val="hybridMultilevel"/>
    <w:tmpl w:val="449EE492"/>
    <w:lvl w:ilvl="0" w:tplc="DF601912">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5E680D3C"/>
    <w:multiLevelType w:val="multilevel"/>
    <w:tmpl w:val="B130F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16cid:durableId="2050445711">
    <w:abstractNumId w:val="15"/>
  </w:num>
  <w:num w:numId="2" w16cid:durableId="1932397418">
    <w:abstractNumId w:val="6"/>
  </w:num>
  <w:num w:numId="3" w16cid:durableId="324548786">
    <w:abstractNumId w:val="14"/>
  </w:num>
  <w:num w:numId="4" w16cid:durableId="1860117423">
    <w:abstractNumId w:val="11"/>
  </w:num>
  <w:num w:numId="5" w16cid:durableId="650792844">
    <w:abstractNumId w:val="0"/>
  </w:num>
  <w:num w:numId="6" w16cid:durableId="1265073383">
    <w:abstractNumId w:val="13"/>
  </w:num>
  <w:num w:numId="7" w16cid:durableId="862859524">
    <w:abstractNumId w:val="12"/>
  </w:num>
  <w:num w:numId="8" w16cid:durableId="495656369">
    <w:abstractNumId w:val="3"/>
  </w:num>
  <w:num w:numId="9" w16cid:durableId="654988933">
    <w:abstractNumId w:val="1"/>
  </w:num>
  <w:num w:numId="10" w16cid:durableId="1672220101">
    <w:abstractNumId w:val="9"/>
  </w:num>
  <w:num w:numId="11" w16cid:durableId="613950857">
    <w:abstractNumId w:val="4"/>
  </w:num>
  <w:num w:numId="12" w16cid:durableId="1130126722">
    <w:abstractNumId w:val="8"/>
  </w:num>
  <w:num w:numId="13" w16cid:durableId="1144464050">
    <w:abstractNumId w:val="2"/>
  </w:num>
  <w:num w:numId="14" w16cid:durableId="1241328700">
    <w:abstractNumId w:val="7"/>
  </w:num>
  <w:num w:numId="15" w16cid:durableId="74787260">
    <w:abstractNumId w:val="5"/>
  </w:num>
  <w:num w:numId="16" w16cid:durableId="15498024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MX" w:vendorID="64" w:dllVersion="4096" w:nlCheck="1" w:checkStyle="0"/>
  <w:activeWritingStyle w:appName="MSWord" w:lang="es-ES_tradnl" w:vendorID="64" w:dllVersion="4096"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15079"/>
    <w:rsid w:val="00021462"/>
    <w:rsid w:val="00036F9A"/>
    <w:rsid w:val="000612BF"/>
    <w:rsid w:val="000645F0"/>
    <w:rsid w:val="000821A5"/>
    <w:rsid w:val="000A2979"/>
    <w:rsid w:val="000B179D"/>
    <w:rsid w:val="000B2806"/>
    <w:rsid w:val="000B3201"/>
    <w:rsid w:val="000C1D5B"/>
    <w:rsid w:val="000D3BA7"/>
    <w:rsid w:val="000E0FA8"/>
    <w:rsid w:val="000E2255"/>
    <w:rsid w:val="000F58DF"/>
    <w:rsid w:val="00106D5C"/>
    <w:rsid w:val="00121EAC"/>
    <w:rsid w:val="00126053"/>
    <w:rsid w:val="0012776B"/>
    <w:rsid w:val="001362EF"/>
    <w:rsid w:val="00145505"/>
    <w:rsid w:val="001673D3"/>
    <w:rsid w:val="00191B4F"/>
    <w:rsid w:val="0019248A"/>
    <w:rsid w:val="00195CDA"/>
    <w:rsid w:val="001B63DE"/>
    <w:rsid w:val="001C14EA"/>
    <w:rsid w:val="001C24D7"/>
    <w:rsid w:val="001D089A"/>
    <w:rsid w:val="001E61CA"/>
    <w:rsid w:val="001E6A54"/>
    <w:rsid w:val="001F5C98"/>
    <w:rsid w:val="002058D2"/>
    <w:rsid w:val="0020714B"/>
    <w:rsid w:val="0023534B"/>
    <w:rsid w:val="00282FED"/>
    <w:rsid w:val="00284CAB"/>
    <w:rsid w:val="002A04AE"/>
    <w:rsid w:val="002F41CF"/>
    <w:rsid w:val="00317155"/>
    <w:rsid w:val="00327122"/>
    <w:rsid w:val="00327659"/>
    <w:rsid w:val="0033558C"/>
    <w:rsid w:val="00350B93"/>
    <w:rsid w:val="003613B0"/>
    <w:rsid w:val="00370C21"/>
    <w:rsid w:val="00370FD8"/>
    <w:rsid w:val="00381C87"/>
    <w:rsid w:val="003A4FB5"/>
    <w:rsid w:val="003B208C"/>
    <w:rsid w:val="003B3575"/>
    <w:rsid w:val="003C5B73"/>
    <w:rsid w:val="003F0E52"/>
    <w:rsid w:val="003F5145"/>
    <w:rsid w:val="00402D56"/>
    <w:rsid w:val="00427BF7"/>
    <w:rsid w:val="00463091"/>
    <w:rsid w:val="004779E8"/>
    <w:rsid w:val="004A2D6D"/>
    <w:rsid w:val="004A4BFE"/>
    <w:rsid w:val="004C0C4B"/>
    <w:rsid w:val="004D32E5"/>
    <w:rsid w:val="004D333B"/>
    <w:rsid w:val="004E1642"/>
    <w:rsid w:val="004F2D4C"/>
    <w:rsid w:val="0050645F"/>
    <w:rsid w:val="0051729F"/>
    <w:rsid w:val="005245DC"/>
    <w:rsid w:val="0053466C"/>
    <w:rsid w:val="00535378"/>
    <w:rsid w:val="0057438F"/>
    <w:rsid w:val="005B76F4"/>
    <w:rsid w:val="00602A7F"/>
    <w:rsid w:val="006437B2"/>
    <w:rsid w:val="00676F37"/>
    <w:rsid w:val="00676FBB"/>
    <w:rsid w:val="00683158"/>
    <w:rsid w:val="00685943"/>
    <w:rsid w:val="006A1018"/>
    <w:rsid w:val="006A3250"/>
    <w:rsid w:val="006B2472"/>
    <w:rsid w:val="006B5A0F"/>
    <w:rsid w:val="006B782B"/>
    <w:rsid w:val="006C2302"/>
    <w:rsid w:val="006D264F"/>
    <w:rsid w:val="006E4DE1"/>
    <w:rsid w:val="00700E06"/>
    <w:rsid w:val="00707B48"/>
    <w:rsid w:val="007117F6"/>
    <w:rsid w:val="007223E0"/>
    <w:rsid w:val="00743D59"/>
    <w:rsid w:val="00754431"/>
    <w:rsid w:val="00766D2A"/>
    <w:rsid w:val="00774172"/>
    <w:rsid w:val="0077490D"/>
    <w:rsid w:val="00777D24"/>
    <w:rsid w:val="00785783"/>
    <w:rsid w:val="0079673B"/>
    <w:rsid w:val="007A1CA1"/>
    <w:rsid w:val="007A459B"/>
    <w:rsid w:val="007B3153"/>
    <w:rsid w:val="007B4010"/>
    <w:rsid w:val="007B53BF"/>
    <w:rsid w:val="007C0E06"/>
    <w:rsid w:val="007D4FE6"/>
    <w:rsid w:val="007E52E9"/>
    <w:rsid w:val="007E68A7"/>
    <w:rsid w:val="007F589E"/>
    <w:rsid w:val="008130DD"/>
    <w:rsid w:val="008145D5"/>
    <w:rsid w:val="00832D75"/>
    <w:rsid w:val="008436A9"/>
    <w:rsid w:val="008531F5"/>
    <w:rsid w:val="008718D3"/>
    <w:rsid w:val="0088265C"/>
    <w:rsid w:val="00896C19"/>
    <w:rsid w:val="008C08F4"/>
    <w:rsid w:val="008C2024"/>
    <w:rsid w:val="008C5F6D"/>
    <w:rsid w:val="008D5DA6"/>
    <w:rsid w:val="0090079D"/>
    <w:rsid w:val="00927C74"/>
    <w:rsid w:val="00936D34"/>
    <w:rsid w:val="009504B4"/>
    <w:rsid w:val="009543DB"/>
    <w:rsid w:val="00965F03"/>
    <w:rsid w:val="00966328"/>
    <w:rsid w:val="00982053"/>
    <w:rsid w:val="0098213C"/>
    <w:rsid w:val="0098422A"/>
    <w:rsid w:val="009A0A35"/>
    <w:rsid w:val="009A6BF3"/>
    <w:rsid w:val="009B4676"/>
    <w:rsid w:val="009D3473"/>
    <w:rsid w:val="009D561B"/>
    <w:rsid w:val="009E29B5"/>
    <w:rsid w:val="00A027A0"/>
    <w:rsid w:val="00A02DC7"/>
    <w:rsid w:val="00A44CC5"/>
    <w:rsid w:val="00A46305"/>
    <w:rsid w:val="00A5395F"/>
    <w:rsid w:val="00A95922"/>
    <w:rsid w:val="00AB54C1"/>
    <w:rsid w:val="00AB6222"/>
    <w:rsid w:val="00AC2BFA"/>
    <w:rsid w:val="00AD47D8"/>
    <w:rsid w:val="00AD63CB"/>
    <w:rsid w:val="00AE586E"/>
    <w:rsid w:val="00AF5E9A"/>
    <w:rsid w:val="00B03366"/>
    <w:rsid w:val="00B25FAD"/>
    <w:rsid w:val="00B26843"/>
    <w:rsid w:val="00B33CF7"/>
    <w:rsid w:val="00B33FC1"/>
    <w:rsid w:val="00B4084A"/>
    <w:rsid w:val="00B52C80"/>
    <w:rsid w:val="00B55C89"/>
    <w:rsid w:val="00B77ACC"/>
    <w:rsid w:val="00B91F5B"/>
    <w:rsid w:val="00B928A1"/>
    <w:rsid w:val="00BD589E"/>
    <w:rsid w:val="00BF0F07"/>
    <w:rsid w:val="00C0602E"/>
    <w:rsid w:val="00C1555F"/>
    <w:rsid w:val="00C15C80"/>
    <w:rsid w:val="00C243CC"/>
    <w:rsid w:val="00C70D2D"/>
    <w:rsid w:val="00C7272D"/>
    <w:rsid w:val="00C810A6"/>
    <w:rsid w:val="00C87450"/>
    <w:rsid w:val="00C91D3C"/>
    <w:rsid w:val="00CD6908"/>
    <w:rsid w:val="00D12E76"/>
    <w:rsid w:val="00D143CB"/>
    <w:rsid w:val="00D21A06"/>
    <w:rsid w:val="00D348E2"/>
    <w:rsid w:val="00D460AB"/>
    <w:rsid w:val="00D62C16"/>
    <w:rsid w:val="00D80355"/>
    <w:rsid w:val="00D835E0"/>
    <w:rsid w:val="00D9462E"/>
    <w:rsid w:val="00DB38A4"/>
    <w:rsid w:val="00DB6877"/>
    <w:rsid w:val="00DF668B"/>
    <w:rsid w:val="00DF7DF9"/>
    <w:rsid w:val="00E071DB"/>
    <w:rsid w:val="00E073C1"/>
    <w:rsid w:val="00E344BB"/>
    <w:rsid w:val="00E44939"/>
    <w:rsid w:val="00E5260C"/>
    <w:rsid w:val="00E57739"/>
    <w:rsid w:val="00E57821"/>
    <w:rsid w:val="00E670E0"/>
    <w:rsid w:val="00E77AD1"/>
    <w:rsid w:val="00E856A5"/>
    <w:rsid w:val="00E85F72"/>
    <w:rsid w:val="00E92AEC"/>
    <w:rsid w:val="00E93203"/>
    <w:rsid w:val="00EA4B6C"/>
    <w:rsid w:val="00EB74C8"/>
    <w:rsid w:val="00EC391F"/>
    <w:rsid w:val="00ED0ACD"/>
    <w:rsid w:val="00ED69DA"/>
    <w:rsid w:val="00ED7116"/>
    <w:rsid w:val="00EE4C13"/>
    <w:rsid w:val="00EE6711"/>
    <w:rsid w:val="00F01441"/>
    <w:rsid w:val="00F15BFE"/>
    <w:rsid w:val="00F43728"/>
    <w:rsid w:val="00F53297"/>
    <w:rsid w:val="00F55996"/>
    <w:rsid w:val="00F604EC"/>
    <w:rsid w:val="00F806E2"/>
    <w:rsid w:val="00F87B51"/>
    <w:rsid w:val="00FB3306"/>
    <w:rsid w:val="00FC1414"/>
    <w:rsid w:val="00FE46A0"/>
    <w:rsid w:val="00FE5896"/>
    <w:rsid w:val="00FF77FA"/>
    <w:rsid w:val="01AFA0BD"/>
    <w:rsid w:val="01DD94CC"/>
    <w:rsid w:val="084296F3"/>
    <w:rsid w:val="0B17B24E"/>
    <w:rsid w:val="0D78368A"/>
    <w:rsid w:val="0EB1D877"/>
    <w:rsid w:val="0EC79AA3"/>
    <w:rsid w:val="11E97939"/>
    <w:rsid w:val="14B2FEE5"/>
    <w:rsid w:val="1BBF3CD6"/>
    <w:rsid w:val="1C6C0F31"/>
    <w:rsid w:val="22BFF3B5"/>
    <w:rsid w:val="22DA3799"/>
    <w:rsid w:val="27C5B5A4"/>
    <w:rsid w:val="28D70000"/>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7C2113"/>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 w:type="character" w:styleId="Mencinsinresolver">
    <w:name w:val="Unresolved Mention"/>
    <w:basedOn w:val="Fuentedeprrafopredeter"/>
    <w:uiPriority w:val="99"/>
    <w:semiHidden/>
    <w:unhideWhenUsed/>
    <w:rsid w:val="009D3473"/>
    <w:rPr>
      <w:color w:val="605E5C"/>
      <w:shd w:val="clear" w:color="auto" w:fill="E1DFDD"/>
    </w:rPr>
  </w:style>
  <w:style w:type="table" w:styleId="Tablaconcuadrculaclara">
    <w:name w:val="Grid Table Light"/>
    <w:basedOn w:val="Tablanormal"/>
    <w:uiPriority w:val="40"/>
    <w:rsid w:val="00FE589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3425">
      <w:bodyDiv w:val="1"/>
      <w:marLeft w:val="0"/>
      <w:marRight w:val="0"/>
      <w:marTop w:val="0"/>
      <w:marBottom w:val="0"/>
      <w:divBdr>
        <w:top w:val="none" w:sz="0" w:space="0" w:color="auto"/>
        <w:left w:val="none" w:sz="0" w:space="0" w:color="auto"/>
        <w:bottom w:val="none" w:sz="0" w:space="0" w:color="auto"/>
        <w:right w:val="none" w:sz="0" w:space="0" w:color="auto"/>
      </w:divBdr>
    </w:div>
    <w:div w:id="96756944">
      <w:bodyDiv w:val="1"/>
      <w:marLeft w:val="0"/>
      <w:marRight w:val="0"/>
      <w:marTop w:val="0"/>
      <w:marBottom w:val="0"/>
      <w:divBdr>
        <w:top w:val="none" w:sz="0" w:space="0" w:color="auto"/>
        <w:left w:val="none" w:sz="0" w:space="0" w:color="auto"/>
        <w:bottom w:val="none" w:sz="0" w:space="0" w:color="auto"/>
        <w:right w:val="none" w:sz="0" w:space="0" w:color="auto"/>
      </w:divBdr>
    </w:div>
    <w:div w:id="1430083159">
      <w:bodyDiv w:val="1"/>
      <w:marLeft w:val="0"/>
      <w:marRight w:val="0"/>
      <w:marTop w:val="0"/>
      <w:marBottom w:val="0"/>
      <w:divBdr>
        <w:top w:val="none" w:sz="0" w:space="0" w:color="auto"/>
        <w:left w:val="none" w:sz="0" w:space="0" w:color="auto"/>
        <w:bottom w:val="none" w:sz="0" w:space="0" w:color="auto"/>
        <w:right w:val="none" w:sz="0" w:space="0" w:color="auto"/>
      </w:divBdr>
    </w:div>
    <w:div w:id="173619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B0B92BD1-278E-4707-BDE4-2E4A29C9F059}">
  <ds:schemaRefs>
    <ds:schemaRef ds:uri="http://schemas.microsoft.com/sharepoint/v3/contenttype/forms"/>
  </ds:schemaRefs>
</ds:datastoreItem>
</file>

<file path=customXml/itemProps2.xml><?xml version="1.0" encoding="utf-8"?>
<ds:datastoreItem xmlns:ds="http://schemas.openxmlformats.org/officeDocument/2006/customXml" ds:itemID="{9DFF2407-1A74-4AC3-AC43-991A06CC4CA1}"/>
</file>

<file path=customXml/itemProps3.xml><?xml version="1.0" encoding="utf-8"?>
<ds:datastoreItem xmlns:ds="http://schemas.openxmlformats.org/officeDocument/2006/customXml" ds:itemID="{618CA220-7804-41A2-ACD0-6624EE44E9B9}">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1286</Words>
  <Characters>7077</Characters>
  <Application>Microsoft Office Word</Application>
  <DocSecurity>0</DocSecurity>
  <Lines>58</Lines>
  <Paragraphs>16</Paragraphs>
  <ScaleCrop>false</ScaleCrop>
  <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Farid Tovar</cp:lastModifiedBy>
  <cp:revision>41</cp:revision>
  <cp:lastPrinted>2026-04-06T16:44:00Z</cp:lastPrinted>
  <dcterms:created xsi:type="dcterms:W3CDTF">2026-04-06T01:14:00Z</dcterms:created>
  <dcterms:modified xsi:type="dcterms:W3CDTF">2026-06-29T16:58:00Z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